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28B4" w14:textId="6BFDF4AC" w:rsidR="00E65163" w:rsidRPr="00E65163" w:rsidRDefault="00E65163" w:rsidP="00E65163">
      <w:pPr>
        <w:pStyle w:val="Podtytu"/>
        <w:spacing w:before="0" w:beforeAutospacing="0" w:after="120"/>
        <w:jc w:val="left"/>
        <w:rPr>
          <w:rFonts w:eastAsia="Times New Roman"/>
          <w:color w:val="002060"/>
          <w:sz w:val="28"/>
          <w:szCs w:val="28"/>
          <w:lang w:eastAsia="pl-PL"/>
        </w:rPr>
      </w:pPr>
      <w:r w:rsidRPr="00E65163">
        <w:rPr>
          <w:rFonts w:eastAsia="Times New Roman"/>
          <w:color w:val="002060"/>
          <w:sz w:val="28"/>
          <w:szCs w:val="28"/>
          <w:lang w:eastAsia="pl-PL"/>
        </w:rPr>
        <w:t>Niewidzialne technologie</w:t>
      </w:r>
      <w:r w:rsidR="004324E4">
        <w:rPr>
          <w:rFonts w:eastAsia="Times New Roman"/>
          <w:color w:val="002060"/>
          <w:sz w:val="28"/>
          <w:szCs w:val="28"/>
          <w:lang w:eastAsia="pl-PL"/>
        </w:rPr>
        <w:t xml:space="preserve"> –</w:t>
      </w:r>
      <w:r w:rsidR="004A1CF4">
        <w:rPr>
          <w:rFonts w:eastAsia="Times New Roman"/>
          <w:color w:val="002060"/>
          <w:sz w:val="28"/>
          <w:szCs w:val="28"/>
          <w:lang w:eastAsia="pl-PL"/>
        </w:rPr>
        <w:t xml:space="preserve"> widzialne efekty</w:t>
      </w:r>
      <w:r w:rsidR="004324E4">
        <w:rPr>
          <w:rFonts w:eastAsia="Times New Roman"/>
          <w:color w:val="002060"/>
          <w:sz w:val="28"/>
          <w:szCs w:val="28"/>
          <w:lang w:eastAsia="pl-PL"/>
        </w:rPr>
        <w:t>.</w:t>
      </w:r>
      <w:r w:rsidRPr="00E65163">
        <w:rPr>
          <w:rFonts w:eastAsia="Times New Roman"/>
          <w:color w:val="002060"/>
          <w:sz w:val="28"/>
          <w:szCs w:val="28"/>
          <w:lang w:eastAsia="pl-PL"/>
        </w:rPr>
        <w:t xml:space="preserve"> </w:t>
      </w:r>
    </w:p>
    <w:p w14:paraId="76F07753" w14:textId="77777777" w:rsidR="00E65163" w:rsidRPr="00E65163" w:rsidRDefault="00E65163" w:rsidP="00E65163">
      <w:pPr>
        <w:spacing w:before="100" w:beforeAutospacing="1" w:after="120"/>
        <w:jc w:val="both"/>
        <w:rPr>
          <w:rFonts w:asciiTheme="majorHAnsi" w:hAnsiTheme="majorHAnsi" w:cstheme="majorHAnsi"/>
          <w:b/>
          <w:bCs/>
        </w:rPr>
      </w:pPr>
      <w:r w:rsidRPr="00E65163">
        <w:rPr>
          <w:rFonts w:asciiTheme="majorHAnsi" w:hAnsiTheme="majorHAnsi" w:cstheme="majorHAnsi"/>
          <w:b/>
          <w:bCs/>
        </w:rPr>
        <w:t xml:space="preserve">Wraz z nadejściem czwartej rewolucji przemysłowej w naszą codzienność wkroczyły one - niewidzialne technologie. Decydują zarówno o zadowoleniu i lojalności klienta, ale mają również realny wpływ na rentowność firm, które z nich korzystają. Pandemia sprawiła, że zaczęły szturmem podbijać nowe sektory, w tym także branżę ubezpieczeniową. Czy to oznacza, że przyszłość należy do firm </w:t>
      </w:r>
      <w:proofErr w:type="spellStart"/>
      <w:r w:rsidRPr="00E65163">
        <w:rPr>
          <w:rFonts w:asciiTheme="majorHAnsi" w:hAnsiTheme="majorHAnsi" w:cstheme="majorHAnsi"/>
          <w:b/>
          <w:bCs/>
        </w:rPr>
        <w:t>InsurTech</w:t>
      </w:r>
      <w:proofErr w:type="spellEnd"/>
      <w:r w:rsidRPr="00E65163">
        <w:rPr>
          <w:rFonts w:asciiTheme="majorHAnsi" w:hAnsiTheme="majorHAnsi" w:cstheme="majorHAnsi"/>
          <w:b/>
          <w:bCs/>
        </w:rPr>
        <w:t>, a konsultanci w branży ubezpieczeniowej przestaną być potrzebni?</w:t>
      </w:r>
    </w:p>
    <w:p w14:paraId="021EA7C3" w14:textId="77777777" w:rsidR="00E65163" w:rsidRPr="00E65163" w:rsidRDefault="00E65163" w:rsidP="00E65163">
      <w:pPr>
        <w:pStyle w:val="Nagwek2"/>
        <w:spacing w:after="0"/>
        <w:rPr>
          <w:sz w:val="22"/>
          <w:szCs w:val="22"/>
        </w:rPr>
      </w:pPr>
      <w:r w:rsidRPr="00E65163">
        <w:rPr>
          <w:sz w:val="22"/>
          <w:szCs w:val="22"/>
        </w:rPr>
        <w:t xml:space="preserve">Digitalizacja życia vs. budowanie relacji </w:t>
      </w:r>
    </w:p>
    <w:p w14:paraId="6D169A03" w14:textId="77777777" w:rsidR="00E65163" w:rsidRPr="00E65163" w:rsidRDefault="00E65163" w:rsidP="00E65163">
      <w:pPr>
        <w:rPr>
          <w:rFonts w:asciiTheme="majorHAnsi" w:hAnsiTheme="majorHAnsi" w:cstheme="majorHAnsi"/>
        </w:rPr>
      </w:pPr>
    </w:p>
    <w:p w14:paraId="171F4B72" w14:textId="43CDA7B4" w:rsidR="00E65163" w:rsidRPr="00E65163" w:rsidRDefault="00E65163" w:rsidP="00E65163">
      <w:pPr>
        <w:spacing w:after="120"/>
        <w:jc w:val="both"/>
        <w:rPr>
          <w:rFonts w:asciiTheme="majorHAnsi" w:hAnsiTheme="majorHAnsi" w:cstheme="majorHAnsi"/>
        </w:rPr>
      </w:pPr>
      <w:r w:rsidRPr="00E65163">
        <w:rPr>
          <w:rFonts w:asciiTheme="majorHAnsi" w:hAnsiTheme="majorHAnsi" w:cstheme="majorHAnsi"/>
        </w:rPr>
        <w:t>Każda firma, która chce utrzymać swoją pozycję na rynku, musi śledzić trendy</w:t>
      </w:r>
      <w:r w:rsidR="00DB39FE">
        <w:rPr>
          <w:rFonts w:asciiTheme="majorHAnsi" w:hAnsiTheme="majorHAnsi" w:cstheme="majorHAnsi"/>
        </w:rPr>
        <w:t xml:space="preserve"> i </w:t>
      </w:r>
      <w:r w:rsidRPr="00E65163">
        <w:rPr>
          <w:rFonts w:asciiTheme="majorHAnsi" w:hAnsiTheme="majorHAnsi" w:cstheme="majorHAnsi"/>
        </w:rPr>
        <w:t xml:space="preserve">zmieniające się potrzeby klientów. Liczne badania, w tym te zrealizowane przez </w:t>
      </w:r>
      <w:proofErr w:type="spellStart"/>
      <w:r w:rsidRPr="00E65163">
        <w:rPr>
          <w:rFonts w:asciiTheme="majorHAnsi" w:hAnsiTheme="majorHAnsi" w:cstheme="majorHAnsi"/>
        </w:rPr>
        <w:t>Gemius</w:t>
      </w:r>
      <w:proofErr w:type="spellEnd"/>
      <w:r w:rsidRPr="00E65163">
        <w:rPr>
          <w:rFonts w:asciiTheme="majorHAnsi" w:hAnsiTheme="majorHAnsi" w:cstheme="majorHAnsi"/>
        </w:rPr>
        <w:t xml:space="preserve"> Polska, wskazują, że ostatnie dwa lata to gigantyczny wzrost zainteresowania zakupami online. W </w:t>
      </w:r>
      <w:proofErr w:type="spellStart"/>
      <w:r w:rsidRPr="00E65163">
        <w:rPr>
          <w:rFonts w:asciiTheme="majorHAnsi" w:hAnsiTheme="majorHAnsi" w:cstheme="majorHAnsi"/>
        </w:rPr>
        <w:t>internecie</w:t>
      </w:r>
      <w:proofErr w:type="spellEnd"/>
      <w:r w:rsidRPr="00E65163">
        <w:rPr>
          <w:rFonts w:asciiTheme="majorHAnsi" w:hAnsiTheme="majorHAnsi" w:cstheme="majorHAnsi"/>
        </w:rPr>
        <w:t xml:space="preserve"> kupuje już 77% Polaków.</w:t>
      </w:r>
      <w:r w:rsidRPr="00E65163">
        <w:rPr>
          <w:rStyle w:val="Odwoanieprzypisudolnego"/>
          <w:rFonts w:asciiTheme="majorHAnsi" w:hAnsiTheme="majorHAnsi" w:cstheme="majorHAnsi"/>
        </w:rPr>
        <w:footnoteReference w:id="1"/>
      </w:r>
      <w:r w:rsidRPr="00E65163">
        <w:rPr>
          <w:rFonts w:asciiTheme="majorHAnsi" w:hAnsiTheme="majorHAnsi" w:cstheme="majorHAnsi"/>
        </w:rPr>
        <w:t xml:space="preserve"> Ponadto, jak wynika z badania CBOS z października ubiegłego roku, już 78% dorosłych Polaków korzysta ze smartfonów, a w grupie wiekowej 18-44 odsetek ten wynosi od 90% do nawet 100%. Dodatkowo, 35% ankietowanych przy użyciu </w:t>
      </w:r>
      <w:proofErr w:type="spellStart"/>
      <w:r w:rsidRPr="00E65163">
        <w:rPr>
          <w:rFonts w:asciiTheme="majorHAnsi" w:hAnsiTheme="majorHAnsi" w:cstheme="majorHAnsi"/>
        </w:rPr>
        <w:t>smartfona</w:t>
      </w:r>
      <w:proofErr w:type="spellEnd"/>
      <w:r w:rsidRPr="00E65163">
        <w:rPr>
          <w:rFonts w:asciiTheme="majorHAnsi" w:hAnsiTheme="majorHAnsi" w:cstheme="majorHAnsi"/>
        </w:rPr>
        <w:t xml:space="preserve"> załatwia także wiele spraw w </w:t>
      </w:r>
      <w:proofErr w:type="spellStart"/>
      <w:r w:rsidRPr="00E65163">
        <w:rPr>
          <w:rFonts w:asciiTheme="majorHAnsi" w:hAnsiTheme="majorHAnsi" w:cstheme="majorHAnsi"/>
        </w:rPr>
        <w:t>internecie</w:t>
      </w:r>
      <w:proofErr w:type="spellEnd"/>
      <w:r w:rsidRPr="00E65163">
        <w:rPr>
          <w:rFonts w:asciiTheme="majorHAnsi" w:hAnsiTheme="majorHAnsi" w:cstheme="majorHAnsi"/>
        </w:rPr>
        <w:t>, m.in rezerwuje bilety czy hotele, a 25% korzysta z programów lojalnościowych, zniżek i bonów w sklepach.</w:t>
      </w:r>
      <w:r w:rsidRPr="00E65163">
        <w:rPr>
          <w:rStyle w:val="Odwoanieprzypisudolnego"/>
          <w:rFonts w:asciiTheme="majorHAnsi" w:hAnsiTheme="majorHAnsi" w:cstheme="majorHAnsi"/>
        </w:rPr>
        <w:footnoteReference w:id="2"/>
      </w:r>
      <w:r w:rsidRPr="00E65163">
        <w:rPr>
          <w:rFonts w:asciiTheme="majorHAnsi" w:hAnsiTheme="majorHAnsi" w:cstheme="majorHAnsi"/>
        </w:rPr>
        <w:t xml:space="preserve"> </w:t>
      </w:r>
    </w:p>
    <w:p w14:paraId="269E239D" w14:textId="43A78CFE" w:rsidR="00E65163" w:rsidRPr="00E65163" w:rsidRDefault="00E65163" w:rsidP="00E65163">
      <w:pPr>
        <w:spacing w:after="120"/>
        <w:jc w:val="both"/>
        <w:rPr>
          <w:rFonts w:asciiTheme="majorHAnsi" w:hAnsiTheme="majorHAnsi" w:cstheme="majorHAnsi"/>
        </w:rPr>
      </w:pPr>
      <w:r w:rsidRPr="00E65163">
        <w:rPr>
          <w:rFonts w:asciiTheme="majorHAnsi" w:hAnsiTheme="majorHAnsi" w:cstheme="majorHAnsi"/>
        </w:rPr>
        <w:t>Choć przechodzenie ze swoimi usługami do świata cyfrowego jest dziś czymś naturalnym dla większości biznesów, to</w:t>
      </w:r>
      <w:r w:rsidRPr="00E65163">
        <w:rPr>
          <w:rFonts w:asciiTheme="majorHAnsi" w:hAnsiTheme="majorHAnsi" w:cstheme="majorHAnsi"/>
        </w:rPr>
        <w:br/>
        <w:t xml:space="preserve">w przypadku branży ubezpieczeniowej wygląda to nieco inaczej. </w:t>
      </w:r>
      <w:r w:rsidR="00A929FE">
        <w:rPr>
          <w:rFonts w:asciiTheme="majorHAnsi" w:hAnsiTheme="majorHAnsi" w:cstheme="majorHAnsi"/>
        </w:rPr>
        <w:t>W sektorze ubezpieczeń widoczny jest</w:t>
      </w:r>
      <w:r w:rsidR="00DB39FE">
        <w:rPr>
          <w:rFonts w:asciiTheme="majorHAnsi" w:hAnsiTheme="majorHAnsi" w:cstheme="majorHAnsi"/>
        </w:rPr>
        <w:t xml:space="preserve"> m.in.</w:t>
      </w:r>
      <w:r w:rsidR="00A929FE">
        <w:rPr>
          <w:rFonts w:asciiTheme="majorHAnsi" w:hAnsiTheme="majorHAnsi" w:cstheme="majorHAnsi"/>
        </w:rPr>
        <w:t xml:space="preserve"> efekt ROPO (ang. </w:t>
      </w:r>
      <w:proofErr w:type="spellStart"/>
      <w:r w:rsidR="00A929FE" w:rsidRPr="00DF4E66">
        <w:rPr>
          <w:rFonts w:asciiTheme="majorHAnsi" w:hAnsiTheme="majorHAnsi" w:cstheme="majorHAnsi"/>
          <w:i/>
          <w:iCs/>
        </w:rPr>
        <w:t>Research</w:t>
      </w:r>
      <w:proofErr w:type="spellEnd"/>
      <w:r w:rsidR="00A929FE" w:rsidRPr="00DF4E66">
        <w:rPr>
          <w:rFonts w:asciiTheme="majorHAnsi" w:hAnsiTheme="majorHAnsi" w:cstheme="majorHAnsi"/>
          <w:i/>
          <w:iCs/>
        </w:rPr>
        <w:t xml:space="preserve"> Online, </w:t>
      </w:r>
      <w:proofErr w:type="spellStart"/>
      <w:r w:rsidR="00A929FE" w:rsidRPr="00DF4E66">
        <w:rPr>
          <w:rFonts w:asciiTheme="majorHAnsi" w:hAnsiTheme="majorHAnsi" w:cstheme="majorHAnsi"/>
          <w:i/>
          <w:iCs/>
        </w:rPr>
        <w:t>Purchase</w:t>
      </w:r>
      <w:proofErr w:type="spellEnd"/>
      <w:r w:rsidR="00A929FE" w:rsidRPr="00DF4E66">
        <w:rPr>
          <w:rFonts w:asciiTheme="majorHAnsi" w:hAnsiTheme="majorHAnsi" w:cstheme="majorHAnsi"/>
          <w:i/>
          <w:iCs/>
        </w:rPr>
        <w:t xml:space="preserve"> Offline</w:t>
      </w:r>
      <w:r w:rsidR="00A929FE">
        <w:rPr>
          <w:rFonts w:asciiTheme="majorHAnsi" w:hAnsiTheme="majorHAnsi" w:cstheme="majorHAnsi"/>
        </w:rPr>
        <w:t xml:space="preserve">). Klienci wyszukują wstępne informacje </w:t>
      </w:r>
      <w:r w:rsidR="00DB39FE">
        <w:rPr>
          <w:rFonts w:asciiTheme="majorHAnsi" w:hAnsiTheme="majorHAnsi" w:cstheme="majorHAnsi"/>
        </w:rPr>
        <w:t xml:space="preserve">na temat oferty </w:t>
      </w:r>
      <w:r w:rsidR="00A929FE">
        <w:rPr>
          <w:rFonts w:asciiTheme="majorHAnsi" w:hAnsiTheme="majorHAnsi" w:cstheme="majorHAnsi"/>
        </w:rPr>
        <w:t xml:space="preserve">w </w:t>
      </w:r>
      <w:r w:rsidR="00710745">
        <w:rPr>
          <w:rFonts w:asciiTheme="majorHAnsi" w:hAnsiTheme="majorHAnsi" w:cstheme="majorHAnsi"/>
        </w:rPr>
        <w:t>I</w:t>
      </w:r>
      <w:r w:rsidR="00A929FE">
        <w:rPr>
          <w:rFonts w:asciiTheme="majorHAnsi" w:hAnsiTheme="majorHAnsi" w:cstheme="majorHAnsi"/>
        </w:rPr>
        <w:t>nternecie, ale finalnie przychodzą do stacjonarnego punktu, by</w:t>
      </w:r>
      <w:r w:rsidR="00DB39FE">
        <w:rPr>
          <w:rFonts w:asciiTheme="majorHAnsi" w:hAnsiTheme="majorHAnsi" w:cstheme="majorHAnsi"/>
        </w:rPr>
        <w:t xml:space="preserve"> wybrać i</w:t>
      </w:r>
      <w:r w:rsidR="00A929FE">
        <w:rPr>
          <w:rFonts w:asciiTheme="majorHAnsi" w:hAnsiTheme="majorHAnsi" w:cstheme="majorHAnsi"/>
        </w:rPr>
        <w:t xml:space="preserve"> zawrzeć polisę u zaufanego doradcy. </w:t>
      </w:r>
      <w:r w:rsidRPr="00E65163">
        <w:rPr>
          <w:rFonts w:asciiTheme="majorHAnsi" w:hAnsiTheme="majorHAnsi" w:cstheme="majorHAnsi"/>
        </w:rPr>
        <w:t>A to dlatego, że jest to wciąż sektor mocno oparty na relacjach. Z punktu widzenia klienta kluczowa jest bowiem profesjonalna wiedza agenta, który wesprze w rozwikłaniu zawiłości produktów ubezpieczeniowych, ale kontakt osobisty jest istotny również wtedy, gdy w grę wchodzą kwestie dla nas najważniejsze: zdrowie, życie i ogólne poczucie bezpieczeństwa. To dlatego w branży ubezpieczeniowej digitalizacja zakupu i automatyzacja procesów idą w parze z relacjami międzyludzkimi nie wykluczając siebie nawzajem. Z pomocą przychodzą bowiem niewidzialne technologie.</w:t>
      </w:r>
    </w:p>
    <w:p w14:paraId="47F51730" w14:textId="77777777" w:rsidR="00E65163" w:rsidRPr="00E65163" w:rsidRDefault="00E65163" w:rsidP="00E65163">
      <w:pPr>
        <w:spacing w:after="120"/>
        <w:jc w:val="both"/>
        <w:rPr>
          <w:rFonts w:asciiTheme="majorHAnsi" w:hAnsiTheme="majorHAnsi" w:cstheme="majorHAnsi"/>
        </w:rPr>
      </w:pPr>
    </w:p>
    <w:p w14:paraId="0C9D1E70" w14:textId="06687817" w:rsidR="00E65163" w:rsidRPr="00E65163" w:rsidRDefault="00E65163" w:rsidP="00E65163">
      <w:pPr>
        <w:pStyle w:val="Nagwek2"/>
        <w:spacing w:before="0" w:beforeAutospacing="0" w:after="0"/>
        <w:rPr>
          <w:sz w:val="22"/>
          <w:szCs w:val="22"/>
        </w:rPr>
      </w:pPr>
      <w:proofErr w:type="spellStart"/>
      <w:r w:rsidRPr="00E65163">
        <w:rPr>
          <w:sz w:val="22"/>
          <w:szCs w:val="22"/>
        </w:rPr>
        <w:t>InsurTech</w:t>
      </w:r>
      <w:proofErr w:type="spellEnd"/>
      <w:r w:rsidRPr="00E65163">
        <w:rPr>
          <w:sz w:val="22"/>
          <w:szCs w:val="22"/>
        </w:rPr>
        <w:t xml:space="preserve"> – branża najszybciej rozwijająca się pod względem innowacji technologicznych</w:t>
      </w:r>
    </w:p>
    <w:p w14:paraId="70D3ABFF" w14:textId="77777777" w:rsidR="00E65163" w:rsidRPr="00E65163" w:rsidRDefault="00E65163" w:rsidP="00E65163">
      <w:pPr>
        <w:rPr>
          <w:rFonts w:asciiTheme="majorHAnsi" w:hAnsiTheme="majorHAnsi" w:cstheme="majorHAnsi"/>
        </w:rPr>
      </w:pPr>
    </w:p>
    <w:p w14:paraId="02A56E15" w14:textId="5A542CEC" w:rsidR="00E65163" w:rsidRPr="00E65163" w:rsidRDefault="00E65163" w:rsidP="00E65163">
      <w:pPr>
        <w:spacing w:after="120"/>
        <w:jc w:val="both"/>
        <w:rPr>
          <w:rFonts w:asciiTheme="majorHAnsi" w:hAnsiTheme="majorHAnsi" w:cstheme="majorHAnsi"/>
        </w:rPr>
      </w:pPr>
      <w:r w:rsidRPr="00E65163">
        <w:rPr>
          <w:rFonts w:asciiTheme="majorHAnsi" w:hAnsiTheme="majorHAnsi" w:cstheme="majorHAnsi"/>
        </w:rPr>
        <w:t>Jak podaje GUS, najwyższy procent wprowadzonych innowacji w latach 201</w:t>
      </w:r>
      <w:r w:rsidR="00710745">
        <w:rPr>
          <w:rFonts w:asciiTheme="majorHAnsi" w:hAnsiTheme="majorHAnsi" w:cstheme="majorHAnsi"/>
        </w:rPr>
        <w:t>8</w:t>
      </w:r>
      <w:r w:rsidRPr="00E65163">
        <w:rPr>
          <w:rFonts w:asciiTheme="majorHAnsi" w:hAnsiTheme="majorHAnsi" w:cstheme="majorHAnsi"/>
        </w:rPr>
        <w:t>-20</w:t>
      </w:r>
      <w:r w:rsidR="00710745">
        <w:rPr>
          <w:rFonts w:asciiTheme="majorHAnsi" w:hAnsiTheme="majorHAnsi" w:cstheme="majorHAnsi"/>
        </w:rPr>
        <w:t>20</w:t>
      </w:r>
      <w:r w:rsidRPr="00E65163">
        <w:rPr>
          <w:rFonts w:asciiTheme="majorHAnsi" w:hAnsiTheme="majorHAnsi" w:cstheme="majorHAnsi"/>
        </w:rPr>
        <w:t xml:space="preserve"> odnotował właśnie sektor ubezpieczeń, reasekuracji i funduszy emerytalnych. Jeszcze przed pandemią, branża ta odnotowała imponujący przyrost na poziomie </w:t>
      </w:r>
      <w:r w:rsidR="00710745">
        <w:rPr>
          <w:rFonts w:asciiTheme="majorHAnsi" w:hAnsiTheme="majorHAnsi" w:cstheme="majorHAnsi"/>
        </w:rPr>
        <w:t>85</w:t>
      </w:r>
      <w:r w:rsidRPr="00E65163">
        <w:rPr>
          <w:rFonts w:asciiTheme="majorHAnsi" w:hAnsiTheme="majorHAnsi" w:cstheme="majorHAnsi"/>
        </w:rPr>
        <w:t>,</w:t>
      </w:r>
      <w:r w:rsidR="00710745">
        <w:rPr>
          <w:rFonts w:asciiTheme="majorHAnsi" w:hAnsiTheme="majorHAnsi" w:cstheme="majorHAnsi"/>
        </w:rPr>
        <w:t>1</w:t>
      </w:r>
      <w:r w:rsidRPr="00E65163">
        <w:rPr>
          <w:rFonts w:asciiTheme="majorHAnsi" w:hAnsiTheme="majorHAnsi" w:cstheme="majorHAnsi"/>
        </w:rPr>
        <w:t xml:space="preserve">%. Był to najwyższy wzrost spośród wszystkich rodzajów działalności. Bardzo wysoki był również udział </w:t>
      </w:r>
      <w:r w:rsidR="00710745">
        <w:rPr>
          <w:rFonts w:asciiTheme="majorHAnsi" w:hAnsiTheme="majorHAnsi" w:cstheme="majorHAnsi"/>
        </w:rPr>
        <w:t xml:space="preserve">w </w:t>
      </w:r>
      <w:r w:rsidRPr="00E65163">
        <w:rPr>
          <w:rFonts w:asciiTheme="majorHAnsi" w:hAnsiTheme="majorHAnsi" w:cstheme="majorHAnsi"/>
        </w:rPr>
        <w:t>innowacj</w:t>
      </w:r>
      <w:r w:rsidR="00710745">
        <w:rPr>
          <w:rFonts w:asciiTheme="majorHAnsi" w:hAnsiTheme="majorHAnsi" w:cstheme="majorHAnsi"/>
        </w:rPr>
        <w:t xml:space="preserve">ach </w:t>
      </w:r>
      <w:r w:rsidRPr="00E65163">
        <w:rPr>
          <w:rFonts w:asciiTheme="majorHAnsi" w:hAnsiTheme="majorHAnsi" w:cstheme="majorHAnsi"/>
        </w:rPr>
        <w:t xml:space="preserve"> produktowych</w:t>
      </w:r>
      <w:r w:rsidR="00710745">
        <w:rPr>
          <w:rFonts w:asciiTheme="majorHAnsi" w:hAnsiTheme="majorHAnsi" w:cstheme="majorHAnsi"/>
        </w:rPr>
        <w:t xml:space="preserve"> i procesach biznesowych (odpowiednio </w:t>
      </w:r>
      <w:r w:rsidR="00710745">
        <w:rPr>
          <w:rFonts w:ascii="Calibri Light" w:eastAsia="Times New Roman" w:hAnsi="Calibri Light" w:cs="Calibri Light"/>
        </w:rPr>
        <w:t>58,2% i 80,6%).</w:t>
      </w:r>
      <w:r w:rsidR="00710745">
        <w:rPr>
          <w:rStyle w:val="Odwoanieprzypisudolnego"/>
          <w:rFonts w:ascii="Calibri Light" w:eastAsia="Times New Roman" w:hAnsi="Calibri Light" w:cs="Calibri Light"/>
        </w:rPr>
        <w:footnoteReference w:id="3"/>
      </w:r>
      <w:r w:rsidR="00710745">
        <w:rPr>
          <w:rFonts w:ascii="Calibri Light" w:eastAsia="Times New Roman" w:hAnsi="Calibri Light" w:cs="Calibri Light"/>
        </w:rPr>
        <w:t xml:space="preserve"> </w:t>
      </w:r>
    </w:p>
    <w:p w14:paraId="1F7CC25F" w14:textId="07F3451F" w:rsidR="00E65163" w:rsidRDefault="00E65163" w:rsidP="00E65163">
      <w:pPr>
        <w:spacing w:after="120"/>
        <w:jc w:val="both"/>
        <w:rPr>
          <w:rFonts w:asciiTheme="majorHAnsi" w:hAnsiTheme="majorHAnsi" w:cstheme="majorHAnsi"/>
        </w:rPr>
      </w:pPr>
      <w:r w:rsidRPr="00E65163">
        <w:rPr>
          <w:rFonts w:asciiTheme="majorHAnsi" w:hAnsiTheme="majorHAnsi" w:cstheme="majorHAnsi"/>
        </w:rPr>
        <w:t xml:space="preserve">Jedną z takich innowacji są z całą pewnością aplikacje umożliwiające zarządzanie roszczeniami, co okazuje się szczególnie ważne w czasach zdominowanych przez zdalne formy obsługi oraz rozliczeń formalnych i wirtualnego obiegu dokumentów. Przykładem jest firma </w:t>
      </w:r>
      <w:proofErr w:type="spellStart"/>
      <w:r w:rsidRPr="00E65163">
        <w:rPr>
          <w:rFonts w:asciiTheme="majorHAnsi" w:hAnsiTheme="majorHAnsi" w:cstheme="majorHAnsi"/>
        </w:rPr>
        <w:t>Unext</w:t>
      </w:r>
      <w:proofErr w:type="spellEnd"/>
      <w:r w:rsidRPr="00E65163">
        <w:rPr>
          <w:rFonts w:asciiTheme="majorHAnsi" w:hAnsiTheme="majorHAnsi" w:cstheme="majorHAnsi"/>
        </w:rPr>
        <w:t xml:space="preserve">, spółka z Grupy Unilink, która wprowadziła na polski rynek </w:t>
      </w:r>
      <w:proofErr w:type="spellStart"/>
      <w:r w:rsidRPr="00E65163">
        <w:rPr>
          <w:rFonts w:asciiTheme="majorHAnsi" w:hAnsiTheme="majorHAnsi" w:cstheme="majorHAnsi"/>
        </w:rPr>
        <w:t>Wefox</w:t>
      </w:r>
      <w:proofErr w:type="spellEnd"/>
      <w:r w:rsidRPr="00E65163">
        <w:rPr>
          <w:rFonts w:asciiTheme="majorHAnsi" w:hAnsiTheme="majorHAnsi" w:cstheme="majorHAnsi"/>
        </w:rPr>
        <w:t>, czyli pierwsz</w:t>
      </w:r>
      <w:r w:rsidR="00C25D42">
        <w:rPr>
          <w:rFonts w:asciiTheme="majorHAnsi" w:hAnsiTheme="majorHAnsi" w:cstheme="majorHAnsi"/>
        </w:rPr>
        <w:t>ego</w:t>
      </w:r>
      <w:r w:rsidRPr="00E65163">
        <w:rPr>
          <w:rFonts w:asciiTheme="majorHAnsi" w:hAnsiTheme="majorHAnsi" w:cstheme="majorHAnsi"/>
        </w:rPr>
        <w:t xml:space="preserve"> europejski</w:t>
      </w:r>
      <w:r w:rsidR="00C25D42">
        <w:rPr>
          <w:rFonts w:asciiTheme="majorHAnsi" w:hAnsiTheme="majorHAnsi" w:cstheme="majorHAnsi"/>
        </w:rPr>
        <w:t>ego</w:t>
      </w:r>
      <w:r w:rsidRPr="00E65163">
        <w:rPr>
          <w:rFonts w:asciiTheme="majorHAnsi" w:hAnsiTheme="majorHAnsi" w:cstheme="majorHAnsi"/>
        </w:rPr>
        <w:t xml:space="preserve"> </w:t>
      </w:r>
      <w:proofErr w:type="spellStart"/>
      <w:r w:rsidRPr="00E65163">
        <w:rPr>
          <w:rFonts w:asciiTheme="majorHAnsi" w:hAnsiTheme="majorHAnsi" w:cstheme="majorHAnsi"/>
        </w:rPr>
        <w:t>unicorn</w:t>
      </w:r>
      <w:r w:rsidR="00C25D42">
        <w:rPr>
          <w:rFonts w:asciiTheme="majorHAnsi" w:hAnsiTheme="majorHAnsi" w:cstheme="majorHAnsi"/>
        </w:rPr>
        <w:t>a</w:t>
      </w:r>
      <w:proofErr w:type="spellEnd"/>
      <w:r w:rsidRPr="00E65163">
        <w:rPr>
          <w:rFonts w:asciiTheme="majorHAnsi" w:hAnsiTheme="majorHAnsi" w:cstheme="majorHAnsi"/>
        </w:rPr>
        <w:t xml:space="preserve"> w segmencie </w:t>
      </w:r>
      <w:proofErr w:type="spellStart"/>
      <w:r w:rsidRPr="00E65163">
        <w:rPr>
          <w:rFonts w:asciiTheme="majorHAnsi" w:hAnsiTheme="majorHAnsi" w:cstheme="majorHAnsi"/>
        </w:rPr>
        <w:t>InsurTechu</w:t>
      </w:r>
      <w:proofErr w:type="spellEnd"/>
      <w:r w:rsidRPr="00E65163">
        <w:rPr>
          <w:rFonts w:asciiTheme="majorHAnsi" w:hAnsiTheme="majorHAnsi" w:cstheme="majorHAnsi"/>
        </w:rPr>
        <w:t>, oferując</w:t>
      </w:r>
      <w:r w:rsidR="00C25D42">
        <w:rPr>
          <w:rFonts w:asciiTheme="majorHAnsi" w:hAnsiTheme="majorHAnsi" w:cstheme="majorHAnsi"/>
        </w:rPr>
        <w:t>ego</w:t>
      </w:r>
      <w:r w:rsidR="00C22398">
        <w:rPr>
          <w:rFonts w:asciiTheme="majorHAnsi" w:hAnsiTheme="majorHAnsi" w:cstheme="majorHAnsi"/>
        </w:rPr>
        <w:t xml:space="preserve"> </w:t>
      </w:r>
      <w:r w:rsidRPr="00E65163">
        <w:rPr>
          <w:rFonts w:asciiTheme="majorHAnsi" w:hAnsiTheme="majorHAnsi" w:cstheme="majorHAnsi"/>
        </w:rPr>
        <w:t xml:space="preserve"> platformę przyspieszającą i ułatwiającą zawieranie umów oraz obsługę ubezpieczeń i likwidację szkód.</w:t>
      </w:r>
    </w:p>
    <w:p w14:paraId="31844C1A" w14:textId="253741EC" w:rsidR="009068AD" w:rsidRPr="004A1CF4" w:rsidRDefault="004A1CF4" w:rsidP="009068AD">
      <w:pPr>
        <w:spacing w:after="120"/>
        <w:jc w:val="both"/>
        <w:rPr>
          <w:rFonts w:asciiTheme="majorHAnsi" w:hAnsiTheme="majorHAnsi" w:cstheme="majorHAnsi"/>
          <w:color w:val="FF0000"/>
        </w:rPr>
      </w:pPr>
      <w:r w:rsidRPr="004A1CF4">
        <w:rPr>
          <w:rFonts w:asciiTheme="majorHAnsi" w:hAnsiTheme="majorHAnsi" w:cstheme="majorHAnsi"/>
          <w:i/>
          <w:iCs/>
        </w:rPr>
        <w:t xml:space="preserve">- </w:t>
      </w:r>
      <w:r w:rsidR="00813FBB" w:rsidRPr="004A1CF4">
        <w:rPr>
          <w:rFonts w:asciiTheme="majorHAnsi" w:hAnsiTheme="majorHAnsi" w:cstheme="majorHAnsi"/>
          <w:i/>
          <w:iCs/>
        </w:rPr>
        <w:t>Innowacyjny system oceny ryzyka</w:t>
      </w:r>
      <w:r w:rsidRPr="004A1CF4">
        <w:rPr>
          <w:rFonts w:asciiTheme="majorHAnsi" w:hAnsiTheme="majorHAnsi" w:cstheme="majorHAnsi"/>
          <w:i/>
          <w:iCs/>
        </w:rPr>
        <w:t>,</w:t>
      </w:r>
      <w:r w:rsidR="00813FBB" w:rsidRPr="004A1CF4">
        <w:rPr>
          <w:rFonts w:asciiTheme="majorHAnsi" w:hAnsiTheme="majorHAnsi" w:cstheme="majorHAnsi"/>
          <w:i/>
          <w:iCs/>
        </w:rPr>
        <w:t xml:space="preserve"> opierający się na automaty</w:t>
      </w:r>
      <w:r w:rsidRPr="004A1CF4">
        <w:rPr>
          <w:rFonts w:asciiTheme="majorHAnsi" w:hAnsiTheme="majorHAnsi" w:cstheme="majorHAnsi"/>
          <w:i/>
          <w:iCs/>
        </w:rPr>
        <w:t>cznej</w:t>
      </w:r>
      <w:r w:rsidR="00813FBB" w:rsidRPr="004A1CF4">
        <w:rPr>
          <w:rFonts w:asciiTheme="majorHAnsi" w:hAnsiTheme="majorHAnsi" w:cstheme="majorHAnsi"/>
          <w:i/>
          <w:iCs/>
        </w:rPr>
        <w:t xml:space="preserve"> analiz</w:t>
      </w:r>
      <w:r w:rsidRPr="004A1CF4">
        <w:rPr>
          <w:rFonts w:asciiTheme="majorHAnsi" w:hAnsiTheme="majorHAnsi" w:cstheme="majorHAnsi"/>
          <w:i/>
          <w:iCs/>
        </w:rPr>
        <w:t xml:space="preserve">ie </w:t>
      </w:r>
      <w:r w:rsidR="00813FBB" w:rsidRPr="004A1CF4">
        <w:rPr>
          <w:rFonts w:asciiTheme="majorHAnsi" w:hAnsiTheme="majorHAnsi" w:cstheme="majorHAnsi"/>
          <w:i/>
          <w:iCs/>
        </w:rPr>
        <w:t>pozyskiwanych w tle danych z wielu źródeł, skutkuje bardzo dobrą i dopasowaną do indywidualnego klienta</w:t>
      </w:r>
      <w:r w:rsidRPr="004A1CF4">
        <w:rPr>
          <w:rFonts w:asciiTheme="majorHAnsi" w:hAnsiTheme="majorHAnsi" w:cstheme="majorHAnsi"/>
          <w:i/>
          <w:iCs/>
        </w:rPr>
        <w:t xml:space="preserve"> ofertą oraz ceną</w:t>
      </w:r>
      <w:r w:rsidR="00813FBB" w:rsidRPr="004A1CF4">
        <w:rPr>
          <w:rFonts w:asciiTheme="majorHAnsi" w:hAnsiTheme="majorHAnsi" w:cstheme="majorHAnsi"/>
          <w:i/>
          <w:iCs/>
        </w:rPr>
        <w:t xml:space="preserve"> za ubezpieczenie</w:t>
      </w:r>
      <w:r w:rsidRPr="004A1CF4">
        <w:rPr>
          <w:rFonts w:asciiTheme="majorHAnsi" w:hAnsiTheme="majorHAnsi" w:cstheme="majorHAnsi"/>
          <w:i/>
          <w:iCs/>
        </w:rPr>
        <w:t>.</w:t>
      </w:r>
      <w:r w:rsidR="00813FBB" w:rsidRPr="004A1CF4">
        <w:rPr>
          <w:rFonts w:asciiTheme="majorHAnsi" w:hAnsiTheme="majorHAnsi" w:cstheme="majorHAnsi"/>
          <w:i/>
          <w:iCs/>
        </w:rPr>
        <w:t xml:space="preserve"> </w:t>
      </w:r>
      <w:r w:rsidRPr="004A1CF4">
        <w:rPr>
          <w:rFonts w:asciiTheme="majorHAnsi" w:hAnsiTheme="majorHAnsi" w:cstheme="majorHAnsi"/>
          <w:i/>
          <w:iCs/>
        </w:rPr>
        <w:t>P</w:t>
      </w:r>
      <w:r w:rsidR="00813FBB" w:rsidRPr="004A1CF4">
        <w:rPr>
          <w:rFonts w:asciiTheme="majorHAnsi" w:hAnsiTheme="majorHAnsi" w:cstheme="majorHAnsi"/>
          <w:i/>
          <w:iCs/>
        </w:rPr>
        <w:t xml:space="preserve">rzy tym nie wymaga od pośrednika żadnej dodatkowej pracy. Co więcej, my tę pracę skracamy i upraszczamy, np. </w:t>
      </w:r>
      <w:r w:rsidRPr="004A1CF4">
        <w:rPr>
          <w:rFonts w:asciiTheme="majorHAnsi" w:hAnsiTheme="majorHAnsi" w:cstheme="majorHAnsi"/>
          <w:i/>
          <w:iCs/>
        </w:rPr>
        <w:t>ograniczając do minimum</w:t>
      </w:r>
      <w:r w:rsidRPr="004A1CF4">
        <w:rPr>
          <w:rFonts w:asciiTheme="majorHAnsi" w:hAnsiTheme="majorHAnsi" w:cstheme="majorHAnsi"/>
        </w:rPr>
        <w:t xml:space="preserve"> </w:t>
      </w:r>
      <w:r w:rsidRPr="004A1CF4">
        <w:rPr>
          <w:rFonts w:asciiTheme="majorHAnsi" w:hAnsiTheme="majorHAnsi" w:cstheme="majorHAnsi"/>
          <w:i/>
          <w:iCs/>
        </w:rPr>
        <w:t xml:space="preserve">liczbę danych potrzebnych do przygotowania oferty. </w:t>
      </w:r>
      <w:r w:rsidR="00813FBB" w:rsidRPr="004A1CF4">
        <w:rPr>
          <w:rFonts w:asciiTheme="majorHAnsi" w:hAnsiTheme="majorHAnsi" w:cstheme="majorHAnsi"/>
          <w:i/>
          <w:iCs/>
        </w:rPr>
        <w:t>Używamy zaawansowanych technik rozpoznawania obrazów, by skrócić czas i zautomatyzować proces analizy dokumentów</w:t>
      </w:r>
      <w:r w:rsidR="003F29E2">
        <w:rPr>
          <w:rFonts w:asciiTheme="majorHAnsi" w:hAnsiTheme="majorHAnsi" w:cstheme="majorHAnsi"/>
          <w:i/>
          <w:iCs/>
        </w:rPr>
        <w:t xml:space="preserve">. </w:t>
      </w:r>
      <w:r w:rsidR="00813FBB" w:rsidRPr="004A1CF4">
        <w:rPr>
          <w:rFonts w:asciiTheme="majorHAnsi" w:hAnsiTheme="majorHAnsi" w:cstheme="majorHAnsi"/>
          <w:i/>
          <w:iCs/>
        </w:rPr>
        <w:t>Wychodzimy naprzeciw zmianom technologicznym</w:t>
      </w:r>
      <w:r w:rsidRPr="004A1CF4">
        <w:rPr>
          <w:rFonts w:asciiTheme="majorHAnsi" w:hAnsiTheme="majorHAnsi" w:cstheme="majorHAnsi"/>
          <w:i/>
          <w:iCs/>
        </w:rPr>
        <w:t xml:space="preserve"> </w:t>
      </w:r>
      <w:r w:rsidR="00813FBB" w:rsidRPr="004A1CF4">
        <w:rPr>
          <w:rFonts w:asciiTheme="majorHAnsi" w:hAnsiTheme="majorHAnsi" w:cstheme="majorHAnsi"/>
          <w:i/>
          <w:iCs/>
        </w:rPr>
        <w:t xml:space="preserve">– nasze </w:t>
      </w:r>
      <w:r w:rsidR="00813FBB" w:rsidRPr="004A1CF4">
        <w:rPr>
          <w:rFonts w:asciiTheme="majorHAnsi" w:hAnsiTheme="majorHAnsi" w:cstheme="majorHAnsi"/>
          <w:i/>
          <w:iCs/>
        </w:rPr>
        <w:lastRenderedPageBreak/>
        <w:t xml:space="preserve">rozwiązania są budowane w formule „platform </w:t>
      </w:r>
      <w:proofErr w:type="spellStart"/>
      <w:r w:rsidR="00813FBB" w:rsidRPr="004A1CF4">
        <w:rPr>
          <w:rFonts w:asciiTheme="majorHAnsi" w:hAnsiTheme="majorHAnsi" w:cstheme="majorHAnsi"/>
          <w:i/>
          <w:iCs/>
        </w:rPr>
        <w:t>agnostic</w:t>
      </w:r>
      <w:proofErr w:type="spellEnd"/>
      <w:r w:rsidR="00813FBB" w:rsidRPr="004A1CF4">
        <w:rPr>
          <w:rFonts w:asciiTheme="majorHAnsi" w:hAnsiTheme="majorHAnsi" w:cstheme="majorHAnsi"/>
          <w:i/>
          <w:iCs/>
        </w:rPr>
        <w:t>”, czyli można je uruchomić na dowolnym urządzeniu</w:t>
      </w:r>
      <w:r w:rsidRPr="004A1CF4">
        <w:rPr>
          <w:rFonts w:asciiTheme="majorHAnsi" w:hAnsiTheme="majorHAnsi" w:cstheme="majorHAnsi"/>
          <w:i/>
          <w:iCs/>
        </w:rPr>
        <w:t xml:space="preserve"> i nie wymagają od żadnej ze stron instalowania dodatkowych aplikacji. </w:t>
      </w:r>
      <w:r w:rsidR="009068AD" w:rsidRPr="004A1CF4">
        <w:rPr>
          <w:rFonts w:asciiTheme="majorHAnsi" w:hAnsiTheme="majorHAnsi" w:cstheme="majorHAnsi"/>
          <w:i/>
          <w:iCs/>
        </w:rPr>
        <w:t xml:space="preserve">Nasz system w prosty sposób łączy się z narzędziami wykorzystywanymi przez pośredników do sprzedaży i obsługi ubezpieczeń. </w:t>
      </w:r>
      <w:r w:rsidRPr="004A1CF4">
        <w:rPr>
          <w:rFonts w:asciiTheme="majorHAnsi" w:hAnsiTheme="majorHAnsi" w:cstheme="majorHAnsi"/>
          <w:i/>
          <w:iCs/>
        </w:rPr>
        <w:t xml:space="preserve">W </w:t>
      </w:r>
      <w:r w:rsidR="009068AD" w:rsidRPr="004A1CF4">
        <w:rPr>
          <w:rFonts w:asciiTheme="majorHAnsi" w:hAnsiTheme="majorHAnsi" w:cstheme="majorHAnsi"/>
          <w:i/>
          <w:iCs/>
        </w:rPr>
        <w:t xml:space="preserve">ten sposób nie tylko </w:t>
      </w:r>
      <w:r w:rsidRPr="004A1CF4">
        <w:rPr>
          <w:rFonts w:asciiTheme="majorHAnsi" w:hAnsiTheme="majorHAnsi" w:cstheme="majorHAnsi"/>
          <w:i/>
          <w:iCs/>
        </w:rPr>
        <w:t>sprzedajemy</w:t>
      </w:r>
      <w:r w:rsidR="009068AD" w:rsidRPr="004A1CF4">
        <w:rPr>
          <w:rFonts w:asciiTheme="majorHAnsi" w:hAnsiTheme="majorHAnsi" w:cstheme="majorHAnsi"/>
          <w:i/>
          <w:iCs/>
        </w:rPr>
        <w:t>, ale również obsług</w:t>
      </w:r>
      <w:r w:rsidRPr="004A1CF4">
        <w:rPr>
          <w:rFonts w:asciiTheme="majorHAnsi" w:hAnsiTheme="majorHAnsi" w:cstheme="majorHAnsi"/>
          <w:i/>
          <w:iCs/>
        </w:rPr>
        <w:t>ujemy</w:t>
      </w:r>
      <w:r w:rsidR="009068AD" w:rsidRPr="004A1CF4">
        <w:rPr>
          <w:rFonts w:asciiTheme="majorHAnsi" w:hAnsiTheme="majorHAnsi" w:cstheme="majorHAnsi"/>
          <w:i/>
          <w:iCs/>
        </w:rPr>
        <w:t xml:space="preserve"> zmiany i zdarzenia w trakcie trwania ubezpieczenia</w:t>
      </w:r>
      <w:r>
        <w:rPr>
          <w:rFonts w:asciiTheme="majorHAnsi" w:hAnsiTheme="majorHAnsi" w:cstheme="majorHAnsi"/>
          <w:i/>
          <w:iCs/>
        </w:rPr>
        <w:t>. Z kolei przy likwidacji szkody klienci mogą skorzystać z w pełni zautomatyzowanego</w:t>
      </w:r>
      <w:r w:rsidR="00255FB6">
        <w:rPr>
          <w:rFonts w:asciiTheme="majorHAnsi" w:hAnsiTheme="majorHAnsi" w:cstheme="majorHAnsi"/>
          <w:i/>
          <w:iCs/>
        </w:rPr>
        <w:t>,</w:t>
      </w:r>
      <w:r>
        <w:rPr>
          <w:rFonts w:asciiTheme="majorHAnsi" w:hAnsiTheme="majorHAnsi" w:cstheme="majorHAnsi"/>
          <w:i/>
          <w:iCs/>
        </w:rPr>
        <w:t xml:space="preserve"> </w:t>
      </w:r>
      <w:r w:rsidR="00255FB6">
        <w:rPr>
          <w:rFonts w:asciiTheme="majorHAnsi" w:hAnsiTheme="majorHAnsi" w:cstheme="majorHAnsi"/>
          <w:i/>
          <w:iCs/>
        </w:rPr>
        <w:t>samoobsługowego procesu, który w kilku krokach dokonuje wyceny szkody i wypłaty odszkodowania. Jednak niezależnie od formy kontaktu, jaką wybiera klient, każdy poszkodowany ma swojego opiekuna, który zajmuje się jego szkodą i wspiera na każdym etapie</w:t>
      </w:r>
      <w:r>
        <w:rPr>
          <w:rFonts w:asciiTheme="majorHAnsi" w:hAnsiTheme="majorHAnsi" w:cstheme="majorHAnsi"/>
          <w:i/>
          <w:iCs/>
        </w:rPr>
        <w:t xml:space="preserve"> </w:t>
      </w:r>
      <w:r w:rsidR="00255FB6">
        <w:rPr>
          <w:rFonts w:asciiTheme="majorHAnsi" w:hAnsiTheme="majorHAnsi" w:cstheme="majorHAnsi"/>
          <w:i/>
          <w:iCs/>
        </w:rPr>
        <w:t>likwidacji.</w:t>
      </w:r>
      <w:r w:rsidRPr="004A1CF4">
        <w:rPr>
          <w:rFonts w:asciiTheme="majorHAnsi" w:hAnsiTheme="majorHAnsi" w:cstheme="majorHAnsi"/>
          <w:i/>
          <w:iCs/>
        </w:rPr>
        <w:t xml:space="preserve"> </w:t>
      </w:r>
      <w:r w:rsidRPr="004A1CF4">
        <w:rPr>
          <w:rFonts w:asciiTheme="majorHAnsi" w:hAnsiTheme="majorHAnsi" w:cstheme="majorHAnsi"/>
        </w:rPr>
        <w:t xml:space="preserve">- komentuje </w:t>
      </w:r>
      <w:r>
        <w:rPr>
          <w:rFonts w:asciiTheme="majorHAnsi" w:hAnsiTheme="majorHAnsi" w:cstheme="majorHAnsi"/>
          <w:b/>
          <w:bCs/>
        </w:rPr>
        <w:t>Cezary Świerszcz, Prezes</w:t>
      </w:r>
      <w:r w:rsidRPr="00E65163"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Unext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</w:p>
    <w:p w14:paraId="10396679" w14:textId="25298A6F" w:rsidR="00E65163" w:rsidRPr="00E65163" w:rsidRDefault="00E65163" w:rsidP="00E65163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E65163">
        <w:rPr>
          <w:rFonts w:asciiTheme="majorHAnsi" w:hAnsiTheme="majorHAnsi" w:cstheme="majorHAnsi"/>
        </w:rPr>
        <w:t>Pracę agentom ułatwiają także aplikacje umożliwiające zautomatyzowane porównywanie ubezpieczeń oferowanych przez różne towarzystwa ubezpieczeniowe. Dzięki temu, doradcy mogą zarekomendować klientom najlepsze dla nich rozwiązanie. Porównywarka ubezpieczeń</w:t>
      </w:r>
      <w:r w:rsidR="00976393">
        <w:rPr>
          <w:rFonts w:asciiTheme="majorHAnsi" w:hAnsiTheme="majorHAnsi" w:cstheme="majorHAnsi"/>
        </w:rPr>
        <w:t xml:space="preserve"> komunikacyjnych</w:t>
      </w:r>
      <w:r w:rsidRPr="00E65163">
        <w:rPr>
          <w:rFonts w:asciiTheme="majorHAnsi" w:hAnsiTheme="majorHAnsi" w:cstheme="majorHAnsi"/>
        </w:rPr>
        <w:t xml:space="preserve"> </w:t>
      </w:r>
      <w:proofErr w:type="spellStart"/>
      <w:r w:rsidRPr="00E65163">
        <w:rPr>
          <w:rFonts w:asciiTheme="majorHAnsi" w:hAnsiTheme="majorHAnsi" w:cstheme="majorHAnsi"/>
        </w:rPr>
        <w:t>UniMarket</w:t>
      </w:r>
      <w:proofErr w:type="spellEnd"/>
      <w:r w:rsidRPr="00E65163">
        <w:rPr>
          <w:rFonts w:asciiTheme="majorHAnsi" w:hAnsiTheme="majorHAnsi" w:cstheme="majorHAnsi"/>
        </w:rPr>
        <w:t>, firmy Unilink S.A.</w:t>
      </w:r>
      <w:r w:rsidR="00AA0F24">
        <w:rPr>
          <w:rFonts w:asciiTheme="majorHAnsi" w:hAnsiTheme="majorHAnsi" w:cstheme="majorHAnsi"/>
        </w:rPr>
        <w:t xml:space="preserve"> </w:t>
      </w:r>
      <w:r w:rsidR="00AA0F24">
        <w:rPr>
          <w:rFonts w:ascii="Calibri Light" w:hAnsi="Calibri Light" w:cs="Calibri Light"/>
        </w:rPr>
        <w:t xml:space="preserve">umożliwia </w:t>
      </w:r>
      <w:r w:rsidR="00AA0F24" w:rsidRPr="00893640">
        <w:rPr>
          <w:rFonts w:asciiTheme="majorHAnsi" w:hAnsiTheme="majorHAnsi" w:cstheme="majorHAnsi"/>
        </w:rPr>
        <w:t>Agentom wystawienie polisy bezpośrednio z poziomu aplikacji, bez konieczności przechodzenia do systemu</w:t>
      </w:r>
      <w:r w:rsidR="00AA0F24" w:rsidRPr="00893640">
        <w:t xml:space="preserve"> danego </w:t>
      </w:r>
      <w:r w:rsidR="00AA0F24" w:rsidRPr="00893640">
        <w:rPr>
          <w:rFonts w:asciiTheme="majorHAnsi" w:hAnsiTheme="majorHAnsi" w:cstheme="majorHAnsi"/>
        </w:rPr>
        <w:t>ubezpieczyciela. Aplikacja</w:t>
      </w:r>
      <w:r w:rsidRPr="00AA0F24">
        <w:rPr>
          <w:rFonts w:asciiTheme="majorHAnsi" w:hAnsiTheme="majorHAnsi" w:cstheme="majorHAnsi"/>
        </w:rPr>
        <w:t xml:space="preserve"> </w:t>
      </w:r>
      <w:r w:rsidRPr="00E65163">
        <w:rPr>
          <w:rFonts w:asciiTheme="majorHAnsi" w:hAnsiTheme="majorHAnsi" w:cstheme="majorHAnsi"/>
        </w:rPr>
        <w:t xml:space="preserve">została ponadto zintegrowana z systemem CRM, który pozwala na błyskawiczne przenoszenie danych klienta z jednej aplikacji do drugiej. Tym samym cała operacja doboru i wystawienia dokumentów ubezpieczeniowych odbywa się błyskawicznie. Dodatkowo, system </w:t>
      </w:r>
      <w:r w:rsidR="00DB39FE">
        <w:rPr>
          <w:rFonts w:asciiTheme="majorHAnsi" w:hAnsiTheme="majorHAnsi" w:cstheme="majorHAnsi"/>
        </w:rPr>
        <w:t>do zarządzania relacjami z klientem</w:t>
      </w:r>
      <w:r w:rsidRPr="00E65163">
        <w:rPr>
          <w:rFonts w:asciiTheme="majorHAnsi" w:hAnsiTheme="majorHAnsi" w:cstheme="majorHAnsi"/>
        </w:rPr>
        <w:t xml:space="preserve"> w zautomatyzowany</w:t>
      </w:r>
      <w:r w:rsidR="00DB39FE">
        <w:rPr>
          <w:rFonts w:asciiTheme="majorHAnsi" w:hAnsiTheme="majorHAnsi" w:cstheme="majorHAnsi"/>
        </w:rPr>
        <w:t xml:space="preserve"> </w:t>
      </w:r>
      <w:r w:rsidR="00DB39FE" w:rsidRPr="00E65163">
        <w:rPr>
          <w:rFonts w:asciiTheme="majorHAnsi" w:hAnsiTheme="majorHAnsi" w:cstheme="majorHAnsi"/>
        </w:rPr>
        <w:t>sposób</w:t>
      </w:r>
      <w:r w:rsidRPr="00E65163">
        <w:rPr>
          <w:rFonts w:asciiTheme="majorHAnsi" w:hAnsiTheme="majorHAnsi" w:cstheme="majorHAnsi"/>
        </w:rPr>
        <w:t xml:space="preserve"> wysyła właścicielowi polisy przypomnienie o konieczności jej przedłużenia, opłaceniu kolejnej raty składki czy też, na przykład, terminie badania technicznego.</w:t>
      </w:r>
    </w:p>
    <w:p w14:paraId="6853A441" w14:textId="209D6624" w:rsidR="00E65163" w:rsidRDefault="00E65163" w:rsidP="00E65163">
      <w:pPr>
        <w:autoSpaceDN w:val="0"/>
        <w:spacing w:line="256" w:lineRule="auto"/>
        <w:jc w:val="both"/>
        <w:rPr>
          <w:rFonts w:asciiTheme="majorHAnsi" w:hAnsiTheme="majorHAnsi" w:cstheme="majorHAnsi"/>
        </w:rPr>
      </w:pPr>
      <w:r w:rsidRPr="00E65163">
        <w:rPr>
          <w:rFonts w:asciiTheme="majorHAnsi" w:hAnsiTheme="majorHAnsi" w:cstheme="majorHAnsi"/>
        </w:rPr>
        <w:br/>
        <w:t xml:space="preserve">Inną innowacją w obszarze ubezpieczeń, docenianą przez agentów, jest wprowadzony przez Unilink w połowie zeszłego roku system płatności </w:t>
      </w:r>
      <w:r w:rsidR="00DB39FE" w:rsidRPr="00DB39FE">
        <w:rPr>
          <w:rFonts w:asciiTheme="majorHAnsi" w:hAnsiTheme="majorHAnsi" w:cstheme="majorHAnsi"/>
        </w:rPr>
        <w:t xml:space="preserve">bezgotówkowych </w:t>
      </w:r>
      <w:proofErr w:type="spellStart"/>
      <w:r w:rsidRPr="00E65163">
        <w:rPr>
          <w:rFonts w:asciiTheme="majorHAnsi" w:hAnsiTheme="majorHAnsi" w:cstheme="majorHAnsi"/>
        </w:rPr>
        <w:t>UniPay</w:t>
      </w:r>
      <w:proofErr w:type="spellEnd"/>
      <w:r w:rsidRPr="00E65163">
        <w:rPr>
          <w:rFonts w:asciiTheme="majorHAnsi" w:hAnsiTheme="majorHAnsi" w:cstheme="majorHAnsi"/>
        </w:rPr>
        <w:t>. Przyjęta za jego pośrednictwem składka automatycznie trafia na konto zakładu ubezpieczeń, w którym klient właśnie wykupił ochronę, co sprawia, że agent nie ponosi żadnych kosztów transakcyjnych. Rozwiązanie to zostało przygotowane we współpracy z ING Bankiem Śląskim.</w:t>
      </w:r>
    </w:p>
    <w:p w14:paraId="51642847" w14:textId="77777777" w:rsidR="00255FB6" w:rsidRPr="00E65163" w:rsidRDefault="00255FB6" w:rsidP="00E65163">
      <w:pPr>
        <w:autoSpaceDN w:val="0"/>
        <w:spacing w:line="256" w:lineRule="auto"/>
        <w:jc w:val="both"/>
        <w:rPr>
          <w:rFonts w:asciiTheme="majorHAnsi" w:hAnsiTheme="majorHAnsi" w:cstheme="majorHAnsi"/>
        </w:rPr>
      </w:pPr>
    </w:p>
    <w:p w14:paraId="7B6ADDE7" w14:textId="6BD13245" w:rsidR="00E65163" w:rsidRPr="00E65163" w:rsidRDefault="00E65163" w:rsidP="00E65163">
      <w:pPr>
        <w:pStyle w:val="Nagwek2"/>
        <w:spacing w:before="0" w:beforeAutospacing="0" w:after="0"/>
        <w:rPr>
          <w:sz w:val="22"/>
          <w:szCs w:val="22"/>
        </w:rPr>
      </w:pPr>
      <w:r w:rsidRPr="00E65163">
        <w:rPr>
          <w:sz w:val="22"/>
          <w:szCs w:val="22"/>
        </w:rPr>
        <w:t>Niewidzialne technologie w świecie ubezpieczeń</w:t>
      </w:r>
    </w:p>
    <w:p w14:paraId="5382670B" w14:textId="77777777" w:rsidR="00E65163" w:rsidRPr="00E65163" w:rsidRDefault="00E65163" w:rsidP="00E65163">
      <w:pPr>
        <w:rPr>
          <w:rFonts w:asciiTheme="majorHAnsi" w:hAnsiTheme="majorHAnsi" w:cstheme="majorHAnsi"/>
        </w:rPr>
      </w:pPr>
    </w:p>
    <w:p w14:paraId="4DCFE6F8" w14:textId="70097340" w:rsidR="00E65163" w:rsidRPr="00E65163" w:rsidRDefault="004A1CF4" w:rsidP="00E65163">
      <w:pPr>
        <w:pStyle w:val="Nagwek2"/>
        <w:spacing w:before="0" w:beforeAutospacing="0" w:after="0"/>
        <w:rPr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- </w:t>
      </w:r>
      <w:r w:rsidR="00E65163" w:rsidRPr="00E65163">
        <w:rPr>
          <w:b w:val="0"/>
          <w:bCs w:val="0"/>
          <w:i/>
          <w:iCs/>
          <w:sz w:val="22"/>
          <w:szCs w:val="22"/>
        </w:rPr>
        <w:t xml:space="preserve">Większość innowacji w branży </w:t>
      </w:r>
      <w:proofErr w:type="spellStart"/>
      <w:r w:rsidR="00E65163" w:rsidRPr="00E65163">
        <w:rPr>
          <w:b w:val="0"/>
          <w:bCs w:val="0"/>
          <w:i/>
          <w:iCs/>
          <w:sz w:val="22"/>
          <w:szCs w:val="22"/>
        </w:rPr>
        <w:t>InsurTech</w:t>
      </w:r>
      <w:proofErr w:type="spellEnd"/>
      <w:r w:rsidR="00E65163" w:rsidRPr="00E65163">
        <w:rPr>
          <w:b w:val="0"/>
          <w:bCs w:val="0"/>
          <w:i/>
          <w:iCs/>
          <w:sz w:val="22"/>
          <w:szCs w:val="22"/>
        </w:rPr>
        <w:t xml:space="preserve"> wprowadzana jest niejako w tle, jako efekt analizy potrzeb klientów, ale także samej organizacji</w:t>
      </w:r>
      <w:r w:rsidR="00E65163" w:rsidRPr="00E65163">
        <w:rPr>
          <w:b w:val="0"/>
          <w:bCs w:val="0"/>
          <w:sz w:val="22"/>
          <w:szCs w:val="22"/>
        </w:rPr>
        <w:t xml:space="preserve">. </w:t>
      </w:r>
      <w:r w:rsidR="00E65163" w:rsidRPr="00E65163">
        <w:rPr>
          <w:b w:val="0"/>
          <w:bCs w:val="0"/>
          <w:i/>
          <w:iCs/>
          <w:sz w:val="22"/>
          <w:szCs w:val="22"/>
        </w:rPr>
        <w:t>Z jednej strony wpisują się one w potrzeby konsumentów, pozwalając na jak najlepsze dopasowanie oferty ubezpieczeniowej do stylu życia konkretnej osoby. Z drugiej zwiększają wygodę i efektywność pracy doradców ubezpieczeniowych, stąd można mówić o sytuacji typu win-win</w:t>
      </w:r>
      <w:r w:rsidR="00E65163" w:rsidRPr="00E65163">
        <w:rPr>
          <w:b w:val="0"/>
          <w:bCs w:val="0"/>
          <w:sz w:val="22"/>
          <w:szCs w:val="22"/>
        </w:rPr>
        <w:t xml:space="preserve"> – </w:t>
      </w:r>
      <w:r w:rsidR="00E65163" w:rsidRPr="00E65163">
        <w:rPr>
          <w:sz w:val="22"/>
          <w:szCs w:val="22"/>
        </w:rPr>
        <w:t>tłumaczy Tomasz Tobór, Dyrektor Zarządzający Pionem Operacji w Unilink S.A.</w:t>
      </w:r>
    </w:p>
    <w:p w14:paraId="3BDCA245" w14:textId="77777777" w:rsidR="00E65163" w:rsidRPr="00E65163" w:rsidRDefault="00E65163" w:rsidP="00E65163">
      <w:pPr>
        <w:spacing w:after="120"/>
        <w:jc w:val="both"/>
        <w:rPr>
          <w:rFonts w:asciiTheme="majorHAnsi" w:hAnsiTheme="majorHAnsi" w:cstheme="majorHAnsi"/>
        </w:rPr>
      </w:pPr>
      <w:r w:rsidRPr="00E65163">
        <w:rPr>
          <w:rFonts w:asciiTheme="majorHAnsi" w:hAnsiTheme="majorHAnsi" w:cstheme="majorHAnsi"/>
        </w:rPr>
        <w:br/>
        <w:t>Jak wynika z raportu Polskiej Izby Ubezpieczeń w 2021</w:t>
      </w:r>
      <w:r w:rsidRPr="00E65163">
        <w:rPr>
          <w:rStyle w:val="Odwoanieprzypisudolnego"/>
          <w:rFonts w:asciiTheme="majorHAnsi" w:hAnsiTheme="majorHAnsi" w:cstheme="majorHAnsi"/>
        </w:rPr>
        <w:footnoteReference w:id="4"/>
      </w:r>
      <w:r w:rsidRPr="00E65163">
        <w:rPr>
          <w:rFonts w:asciiTheme="majorHAnsi" w:hAnsiTheme="majorHAnsi" w:cstheme="majorHAnsi"/>
        </w:rPr>
        <w:t xml:space="preserve"> roku, już  ponad 80% ubezpieczycieli jest zdania, że przyszłość na rynku ubezpieczeń należy do tych organizacji, które poniosą znaczne inwestycje w obszarze innowacji i cyfryzacji. Dokładnie taka sama część zakładów ubezpieczeń jest zdania, że w ciągu najbliższych 2 lat znaczenie zastosowań opartych na sztucznej inteligencji w ich organizacjach będzie rosło, a nowe technologie będą wspierać pracowników w ich codziennych zadaniach oraz w podejmowaniu decyzji. </w:t>
      </w:r>
    </w:p>
    <w:p w14:paraId="1A49F34E" w14:textId="53E8D339" w:rsidR="00E65163" w:rsidRPr="00E65163" w:rsidRDefault="000F7528" w:rsidP="00E65163">
      <w:pPr>
        <w:spacing w:after="1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i/>
          <w:iCs/>
        </w:rPr>
        <w:t>C</w:t>
      </w:r>
      <w:r w:rsidR="00E65163" w:rsidRPr="00E65163">
        <w:rPr>
          <w:rFonts w:asciiTheme="majorHAnsi" w:hAnsiTheme="majorHAnsi" w:cstheme="majorHAnsi"/>
          <w:i/>
          <w:iCs/>
        </w:rPr>
        <w:t>ho</w:t>
      </w:r>
      <w:r>
        <w:rPr>
          <w:rFonts w:asciiTheme="majorHAnsi" w:hAnsiTheme="majorHAnsi" w:cstheme="majorHAnsi"/>
          <w:i/>
          <w:iCs/>
        </w:rPr>
        <w:t xml:space="preserve">ć </w:t>
      </w:r>
      <w:r w:rsidR="00E65163" w:rsidRPr="00E65163">
        <w:rPr>
          <w:rFonts w:asciiTheme="majorHAnsi" w:hAnsiTheme="majorHAnsi" w:cstheme="majorHAnsi"/>
          <w:i/>
          <w:iCs/>
        </w:rPr>
        <w:t>stale trwają prace wokół upraszczania produktów ubezpieczeniowych, to wciąż podjęcie dobrej decyzji o zakupie odpowiedniej polisy bardzo często wymaga wsparcia profesjonalisty.</w:t>
      </w:r>
      <w:r>
        <w:rPr>
          <w:rFonts w:asciiTheme="majorHAnsi" w:hAnsiTheme="majorHAnsi" w:cstheme="majorHAnsi"/>
          <w:i/>
          <w:iCs/>
        </w:rPr>
        <w:t xml:space="preserve"> </w:t>
      </w:r>
      <w:r w:rsidRPr="00E65163">
        <w:rPr>
          <w:rFonts w:asciiTheme="majorHAnsi" w:hAnsiTheme="majorHAnsi" w:cstheme="majorHAnsi"/>
          <w:i/>
          <w:iCs/>
        </w:rPr>
        <w:t>W Unilink</w:t>
      </w:r>
      <w:r>
        <w:rPr>
          <w:rFonts w:asciiTheme="majorHAnsi" w:hAnsiTheme="majorHAnsi" w:cstheme="majorHAnsi"/>
          <w:i/>
          <w:iCs/>
        </w:rPr>
        <w:t xml:space="preserve"> </w:t>
      </w:r>
      <w:r w:rsidR="00D46CD0">
        <w:rPr>
          <w:rFonts w:asciiTheme="majorHAnsi" w:hAnsiTheme="majorHAnsi" w:cstheme="majorHAnsi"/>
          <w:i/>
          <w:iCs/>
        </w:rPr>
        <w:t xml:space="preserve">sprzedaż ubezpieczeń za </w:t>
      </w:r>
      <w:r>
        <w:rPr>
          <w:rFonts w:asciiTheme="majorHAnsi" w:hAnsiTheme="majorHAnsi" w:cstheme="majorHAnsi"/>
          <w:i/>
          <w:iCs/>
        </w:rPr>
        <w:t>pośrednictwem</w:t>
      </w:r>
      <w:r w:rsidRPr="00E65163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 xml:space="preserve">agentów </w:t>
      </w:r>
      <w:r w:rsidRPr="00E65163">
        <w:rPr>
          <w:rFonts w:asciiTheme="majorHAnsi" w:hAnsiTheme="majorHAnsi" w:cstheme="majorHAnsi"/>
          <w:i/>
          <w:iCs/>
        </w:rPr>
        <w:t xml:space="preserve">wciąż </w:t>
      </w:r>
      <w:r>
        <w:rPr>
          <w:rFonts w:asciiTheme="majorHAnsi" w:hAnsiTheme="majorHAnsi" w:cstheme="majorHAnsi"/>
          <w:i/>
          <w:iCs/>
        </w:rPr>
        <w:t xml:space="preserve">jest </w:t>
      </w:r>
      <w:r w:rsidRPr="00E65163">
        <w:rPr>
          <w:rFonts w:asciiTheme="majorHAnsi" w:hAnsiTheme="majorHAnsi" w:cstheme="majorHAnsi"/>
          <w:i/>
          <w:iCs/>
        </w:rPr>
        <w:t>kluczow</w:t>
      </w:r>
      <w:r>
        <w:rPr>
          <w:rFonts w:asciiTheme="majorHAnsi" w:hAnsiTheme="majorHAnsi" w:cstheme="majorHAnsi"/>
          <w:i/>
          <w:iCs/>
        </w:rPr>
        <w:t>a</w:t>
      </w:r>
      <w:r w:rsidRPr="00E65163">
        <w:rPr>
          <w:rFonts w:asciiTheme="majorHAnsi" w:hAnsiTheme="majorHAnsi" w:cstheme="majorHAnsi"/>
          <w:i/>
          <w:iCs/>
        </w:rPr>
        <w:t xml:space="preserve">, bo tego </w:t>
      </w:r>
      <w:r>
        <w:rPr>
          <w:rFonts w:asciiTheme="majorHAnsi" w:hAnsiTheme="majorHAnsi" w:cstheme="majorHAnsi"/>
          <w:i/>
          <w:iCs/>
        </w:rPr>
        <w:t xml:space="preserve">właśnie </w:t>
      </w:r>
      <w:r w:rsidRPr="00E65163">
        <w:rPr>
          <w:rFonts w:asciiTheme="majorHAnsi" w:hAnsiTheme="majorHAnsi" w:cstheme="majorHAnsi"/>
          <w:i/>
          <w:iCs/>
        </w:rPr>
        <w:t xml:space="preserve">oczekują klienci. </w:t>
      </w:r>
      <w:r w:rsidR="00E65163" w:rsidRPr="00E65163">
        <w:rPr>
          <w:rFonts w:asciiTheme="majorHAnsi" w:hAnsiTheme="majorHAnsi" w:cstheme="majorHAnsi"/>
          <w:i/>
          <w:iCs/>
        </w:rPr>
        <w:t xml:space="preserve"> Jednak za sprawną obsługą klientów stoją także niewidzialne technologie. Zrobotyzowane algorytmy wspierają agentów</w:t>
      </w:r>
      <w:r w:rsidR="0050375E">
        <w:rPr>
          <w:rFonts w:asciiTheme="majorHAnsi" w:hAnsiTheme="majorHAnsi" w:cstheme="majorHAnsi"/>
          <w:i/>
          <w:iCs/>
        </w:rPr>
        <w:t xml:space="preserve"> i pracowników</w:t>
      </w:r>
      <w:r w:rsidR="00E65163" w:rsidRPr="00E65163">
        <w:rPr>
          <w:rFonts w:asciiTheme="majorHAnsi" w:hAnsiTheme="majorHAnsi" w:cstheme="majorHAnsi"/>
          <w:i/>
          <w:iCs/>
        </w:rPr>
        <w:t xml:space="preserve"> w realizacji koniecznych, często żmudnych obowiązków. To setki tysięcy bezbłędnie i terminowo wykonanych operacji, odciążających pracowników w firmie. Jeśli dołożymy do tego narzędzia pozwalające agentom na porównywanie ofert kilkudziesięciu Towarzystw Ubezpieczeniowych jednocześnie, z równoległym zunifikowaniem ścieżki sprzedaży i zautomatyzowaniem rozliczeń płatności, czy wreszcie kontaktu z klientami, który jest kluczowym elementem ich pracy, dostajemy obraz niewidzialnych technologii stanowiących</w:t>
      </w:r>
      <w:r w:rsidR="00710745">
        <w:rPr>
          <w:rFonts w:asciiTheme="majorHAnsi" w:hAnsiTheme="majorHAnsi" w:cstheme="majorHAnsi"/>
          <w:i/>
          <w:iCs/>
        </w:rPr>
        <w:t xml:space="preserve"> istotny obszar</w:t>
      </w:r>
      <w:r w:rsidR="00E65163" w:rsidRPr="00E65163">
        <w:rPr>
          <w:rFonts w:asciiTheme="majorHAnsi" w:hAnsiTheme="majorHAnsi" w:cstheme="majorHAnsi"/>
          <w:i/>
          <w:iCs/>
        </w:rPr>
        <w:t xml:space="preserve"> branży ubezpieczeniowej. </w:t>
      </w:r>
      <w:r w:rsidR="00E65163" w:rsidRPr="00E65163">
        <w:rPr>
          <w:rFonts w:asciiTheme="majorHAnsi" w:hAnsiTheme="majorHAnsi" w:cstheme="majorHAnsi"/>
          <w:b/>
          <w:bCs/>
          <w:i/>
          <w:iCs/>
        </w:rPr>
        <w:t xml:space="preserve">– </w:t>
      </w:r>
      <w:r w:rsidR="00E65163" w:rsidRPr="00E65163">
        <w:rPr>
          <w:rFonts w:asciiTheme="majorHAnsi" w:hAnsiTheme="majorHAnsi" w:cstheme="majorHAnsi"/>
          <w:b/>
          <w:bCs/>
        </w:rPr>
        <w:t>wyjaśnia Tomasz Tobór</w:t>
      </w:r>
      <w:r w:rsidR="0050375E">
        <w:rPr>
          <w:rFonts w:asciiTheme="majorHAnsi" w:hAnsiTheme="majorHAnsi" w:cstheme="majorHAnsi"/>
          <w:b/>
          <w:bCs/>
        </w:rPr>
        <w:t>,</w:t>
      </w:r>
      <w:r w:rsidR="0050375E" w:rsidRPr="0050375E">
        <w:t xml:space="preserve"> </w:t>
      </w:r>
      <w:r w:rsidR="0050375E" w:rsidRPr="0050375E">
        <w:rPr>
          <w:rFonts w:asciiTheme="majorHAnsi" w:hAnsiTheme="majorHAnsi" w:cstheme="majorHAnsi"/>
          <w:b/>
          <w:bCs/>
        </w:rPr>
        <w:t>Dyrektor Zarządzający Pionem Operacji w Unilink S.A.</w:t>
      </w:r>
      <w:r w:rsidR="0050375E">
        <w:rPr>
          <w:rFonts w:asciiTheme="majorHAnsi" w:hAnsiTheme="majorHAnsi" w:cstheme="majorHAnsi"/>
          <w:b/>
          <w:bCs/>
        </w:rPr>
        <w:t xml:space="preserve"> </w:t>
      </w:r>
    </w:p>
    <w:p w14:paraId="2207C0B1" w14:textId="77777777" w:rsidR="00E65163" w:rsidRPr="00E65163" w:rsidRDefault="00E65163" w:rsidP="00E65163">
      <w:pPr>
        <w:pStyle w:val="Nagwek2"/>
        <w:spacing w:before="0" w:beforeAutospacing="0" w:after="0"/>
        <w:rPr>
          <w:sz w:val="22"/>
          <w:szCs w:val="22"/>
        </w:rPr>
      </w:pPr>
      <w:r w:rsidRPr="00E65163">
        <w:rPr>
          <w:sz w:val="22"/>
          <w:szCs w:val="22"/>
        </w:rPr>
        <w:lastRenderedPageBreak/>
        <w:t xml:space="preserve">W jakim kierunku w przyszłości ewoluować będzie branża </w:t>
      </w:r>
      <w:proofErr w:type="spellStart"/>
      <w:r w:rsidRPr="00E65163">
        <w:rPr>
          <w:sz w:val="22"/>
          <w:szCs w:val="22"/>
        </w:rPr>
        <w:t>InsurTech</w:t>
      </w:r>
      <w:proofErr w:type="spellEnd"/>
      <w:r w:rsidRPr="00E65163">
        <w:rPr>
          <w:sz w:val="22"/>
          <w:szCs w:val="22"/>
        </w:rPr>
        <w:t>?</w:t>
      </w:r>
    </w:p>
    <w:p w14:paraId="1E781979" w14:textId="77777777" w:rsidR="00E65163" w:rsidRPr="00E65163" w:rsidRDefault="00E65163" w:rsidP="00E65163">
      <w:pPr>
        <w:rPr>
          <w:rFonts w:asciiTheme="majorHAnsi" w:hAnsiTheme="majorHAnsi" w:cstheme="majorHAnsi"/>
        </w:rPr>
      </w:pPr>
    </w:p>
    <w:p w14:paraId="00760244" w14:textId="77777777" w:rsidR="00E65163" w:rsidRPr="00E65163" w:rsidRDefault="00E65163" w:rsidP="00E65163">
      <w:pPr>
        <w:spacing w:after="120"/>
        <w:jc w:val="both"/>
        <w:rPr>
          <w:rFonts w:asciiTheme="majorHAnsi" w:hAnsiTheme="majorHAnsi" w:cstheme="majorHAnsi"/>
        </w:rPr>
      </w:pPr>
      <w:r w:rsidRPr="00E65163">
        <w:rPr>
          <w:rFonts w:asciiTheme="majorHAnsi" w:hAnsiTheme="majorHAnsi" w:cstheme="majorHAnsi"/>
        </w:rPr>
        <w:t xml:space="preserve">Podobnie jak w innych dynamicznie zmieniających się sektorach gospodarki, przyszłość branży </w:t>
      </w:r>
      <w:proofErr w:type="spellStart"/>
      <w:r w:rsidRPr="00E65163">
        <w:rPr>
          <w:rFonts w:asciiTheme="majorHAnsi" w:hAnsiTheme="majorHAnsi" w:cstheme="majorHAnsi"/>
        </w:rPr>
        <w:t>InsurTech</w:t>
      </w:r>
      <w:proofErr w:type="spellEnd"/>
      <w:r w:rsidRPr="00E65163">
        <w:rPr>
          <w:rFonts w:asciiTheme="majorHAnsi" w:hAnsiTheme="majorHAnsi" w:cstheme="majorHAnsi"/>
        </w:rPr>
        <w:t xml:space="preserve"> również będzie podlegać kolejnym innowacjom. Warto wspomnieć o stworzonym przez Polaków startupie </w:t>
      </w:r>
      <w:proofErr w:type="spellStart"/>
      <w:r w:rsidRPr="00E65163">
        <w:rPr>
          <w:rFonts w:asciiTheme="majorHAnsi" w:hAnsiTheme="majorHAnsi" w:cstheme="majorHAnsi"/>
        </w:rPr>
        <w:t>Tensorflight</w:t>
      </w:r>
      <w:proofErr w:type="spellEnd"/>
      <w:r w:rsidRPr="00E65163">
        <w:rPr>
          <w:rFonts w:asciiTheme="majorHAnsi" w:hAnsiTheme="majorHAnsi" w:cstheme="majorHAnsi"/>
        </w:rPr>
        <w:t>, który umożliwia zdalną i automatyczną inspekcję budynków dla ubezpieczeń nieruchomości. Ze względu na nasilające się zmiany klimatu, można przewidzieć także zwiększenie się roli automatycznej oceny ryzyka oraz rozliczeń w przypadku katastrof naturalnych. Znakiem czasu będzie też dopasowanie się do obsługi potrzeb nowych modeli biznesowych, szczególnie opartych na tzw. „ekonomii fuchy” (po ang. gig-</w:t>
      </w:r>
      <w:proofErr w:type="spellStart"/>
      <w:r w:rsidRPr="00E65163">
        <w:rPr>
          <w:rFonts w:asciiTheme="majorHAnsi" w:hAnsiTheme="majorHAnsi" w:cstheme="majorHAnsi"/>
        </w:rPr>
        <w:t>economy</w:t>
      </w:r>
      <w:proofErr w:type="spellEnd"/>
      <w:r w:rsidRPr="00E65163">
        <w:rPr>
          <w:rFonts w:asciiTheme="majorHAnsi" w:hAnsiTheme="majorHAnsi" w:cstheme="majorHAnsi"/>
        </w:rPr>
        <w:t xml:space="preserve">), czyli takich, w których osoba świadczy usługi wymagające ubezpieczenia jedynie czasowo lub dorywczo. Przykładem mogą być dostawcy jedzenia czy zakupów spożywczych. </w:t>
      </w:r>
    </w:p>
    <w:p w14:paraId="4A418CDF" w14:textId="50955A3F" w:rsidR="00E65163" w:rsidRPr="00E65163" w:rsidRDefault="00E65163" w:rsidP="00E65163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E65163">
        <w:rPr>
          <w:rFonts w:asciiTheme="majorHAnsi" w:hAnsiTheme="majorHAnsi" w:cstheme="majorHAnsi"/>
          <w:i/>
          <w:iCs/>
        </w:rPr>
        <w:t xml:space="preserve">Tak, jak w innych branżach, tak i w ubezpieczeniach istotną </w:t>
      </w:r>
      <w:r w:rsidR="00710745">
        <w:rPr>
          <w:rFonts w:asciiTheme="majorHAnsi" w:hAnsiTheme="majorHAnsi" w:cstheme="majorHAnsi"/>
          <w:i/>
          <w:iCs/>
        </w:rPr>
        <w:t xml:space="preserve">rolę </w:t>
      </w:r>
      <w:r w:rsidR="009068AD">
        <w:rPr>
          <w:rFonts w:asciiTheme="majorHAnsi" w:hAnsiTheme="majorHAnsi" w:cstheme="majorHAnsi"/>
          <w:i/>
          <w:iCs/>
        </w:rPr>
        <w:t xml:space="preserve">pełnią dane, ich pozyskiwanie oraz analiza. Zaawanasowana analityka danych będzie decydowała o przewadze konkurencyjnej ubezpieczycieli. Dlatego techniki oparte na uczeniu maszynowym i sztucznej inteligencji są i będą mocno rozwijane. Ważną </w:t>
      </w:r>
      <w:r w:rsidRPr="00E65163">
        <w:rPr>
          <w:rFonts w:asciiTheme="majorHAnsi" w:hAnsiTheme="majorHAnsi" w:cstheme="majorHAnsi"/>
          <w:i/>
          <w:iCs/>
        </w:rPr>
        <w:t xml:space="preserve">rolę będzie w przyszłości odgrywać wykorzystanie sztucznej inteligencji wspartej różnego typu sensorami oraz urządzeniami tzw. Internetu Rzeczy. Z jednej strony przyczyni się to do zwiększenia możliwości przewidywania zdarzeń i ryzyka, a w wielu przypadkach stanowić będzie realne wsparcie w procesach tak przygotowania ofert, jak i rozliczeń szkód – </w:t>
      </w:r>
      <w:r w:rsidR="0050375E">
        <w:rPr>
          <w:rFonts w:asciiTheme="majorHAnsi" w:hAnsiTheme="majorHAnsi" w:cstheme="majorHAnsi"/>
          <w:b/>
          <w:bCs/>
        </w:rPr>
        <w:t>Cezary Świerszcz, Prezes</w:t>
      </w:r>
      <w:r w:rsidRPr="00E6516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50375E">
        <w:rPr>
          <w:rFonts w:asciiTheme="majorHAnsi" w:hAnsiTheme="majorHAnsi" w:cstheme="majorHAnsi"/>
          <w:b/>
          <w:bCs/>
        </w:rPr>
        <w:t>Unext</w:t>
      </w:r>
      <w:proofErr w:type="spellEnd"/>
      <w:r w:rsidR="0050375E">
        <w:rPr>
          <w:rFonts w:asciiTheme="majorHAnsi" w:hAnsiTheme="majorHAnsi" w:cstheme="majorHAnsi"/>
          <w:b/>
          <w:bCs/>
        </w:rPr>
        <w:t>.</w:t>
      </w:r>
    </w:p>
    <w:p w14:paraId="1AA8F5FE" w14:textId="7B81DB10" w:rsidR="00E65163" w:rsidRPr="00E65163" w:rsidRDefault="00E65163" w:rsidP="00E65163">
      <w:pPr>
        <w:spacing w:after="120"/>
        <w:jc w:val="both"/>
        <w:rPr>
          <w:rFonts w:asciiTheme="majorHAnsi" w:hAnsiTheme="majorHAnsi" w:cstheme="majorHAnsi"/>
        </w:rPr>
      </w:pPr>
      <w:r w:rsidRPr="00E65163">
        <w:rPr>
          <w:rFonts w:asciiTheme="majorHAnsi" w:hAnsiTheme="majorHAnsi" w:cstheme="majorHAnsi"/>
        </w:rPr>
        <w:t>Jak widać branża ubezpieczeniowa aktywnie, choć w niewidoczny często sposób, wdraża nowe rozwiązania</w:t>
      </w:r>
      <w:r w:rsidR="00710745">
        <w:rPr>
          <w:rFonts w:asciiTheme="majorHAnsi" w:hAnsiTheme="majorHAnsi" w:cstheme="majorHAnsi"/>
        </w:rPr>
        <w:t>, któr</w:t>
      </w:r>
      <w:r w:rsidR="00482495">
        <w:rPr>
          <w:rFonts w:asciiTheme="majorHAnsi" w:hAnsiTheme="majorHAnsi" w:cstheme="majorHAnsi"/>
        </w:rPr>
        <w:t>e znacznie</w:t>
      </w:r>
      <w:r w:rsidR="00710745">
        <w:rPr>
          <w:rFonts w:asciiTheme="majorHAnsi" w:hAnsiTheme="majorHAnsi" w:cstheme="majorHAnsi"/>
        </w:rPr>
        <w:t xml:space="preserve"> usprawnia</w:t>
      </w:r>
      <w:r w:rsidR="00482495">
        <w:rPr>
          <w:rFonts w:asciiTheme="majorHAnsi" w:hAnsiTheme="majorHAnsi" w:cstheme="majorHAnsi"/>
        </w:rPr>
        <w:t>ją</w:t>
      </w:r>
      <w:r w:rsidR="00710745">
        <w:rPr>
          <w:rFonts w:asciiTheme="majorHAnsi" w:hAnsiTheme="majorHAnsi" w:cstheme="majorHAnsi"/>
        </w:rPr>
        <w:t xml:space="preserve"> proces obsługi</w:t>
      </w:r>
      <w:r w:rsidRPr="00E65163">
        <w:rPr>
          <w:rFonts w:asciiTheme="majorHAnsi" w:hAnsiTheme="majorHAnsi" w:cstheme="majorHAnsi"/>
        </w:rPr>
        <w:t xml:space="preserve">. </w:t>
      </w:r>
    </w:p>
    <w:p w14:paraId="5373AAAE" w14:textId="4F6617B9" w:rsidR="0031592F" w:rsidRPr="00E65163" w:rsidRDefault="00A66DA4" w:rsidP="002B5804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E65163">
        <w:rPr>
          <w:rFonts w:asciiTheme="majorHAnsi" w:hAnsiTheme="majorHAnsi" w:cstheme="majorHAnsi"/>
        </w:rPr>
        <w:t>***</w:t>
      </w:r>
    </w:p>
    <w:p w14:paraId="441BA2F5" w14:textId="5A28B505" w:rsidR="00A66DA4" w:rsidRPr="00E65163" w:rsidRDefault="00A66DA4" w:rsidP="00A15132">
      <w:pPr>
        <w:pStyle w:val="Nagwek2"/>
        <w:spacing w:after="0"/>
        <w:rPr>
          <w:sz w:val="22"/>
          <w:szCs w:val="22"/>
        </w:rPr>
      </w:pPr>
      <w:r w:rsidRPr="00E65163">
        <w:rPr>
          <w:sz w:val="22"/>
          <w:szCs w:val="22"/>
        </w:rPr>
        <w:t>O Unilink:</w:t>
      </w:r>
    </w:p>
    <w:p w14:paraId="547B2467" w14:textId="73FDCEBA" w:rsidR="001C7D02" w:rsidRPr="00E65163" w:rsidRDefault="001C7D02" w:rsidP="00A15132">
      <w:pPr>
        <w:spacing w:before="100" w:beforeAutospacing="1" w:after="0"/>
        <w:jc w:val="both"/>
        <w:rPr>
          <w:rFonts w:asciiTheme="majorHAnsi" w:hAnsiTheme="majorHAnsi" w:cstheme="majorHAnsi"/>
          <w:color w:val="000000"/>
          <w:lang w:eastAsia="pl-PL"/>
        </w:rPr>
      </w:pPr>
      <w:r w:rsidRPr="00E65163">
        <w:rPr>
          <w:rFonts w:asciiTheme="majorHAnsi" w:hAnsiTheme="majorHAnsi" w:cstheme="majorHAnsi"/>
          <w:b/>
          <w:bCs/>
          <w:color w:val="000000"/>
          <w:lang w:eastAsia="pl-PL"/>
        </w:rPr>
        <w:t>Unilink S.A.</w:t>
      </w:r>
      <w:r w:rsidRPr="00E65163">
        <w:rPr>
          <w:rFonts w:asciiTheme="majorHAnsi" w:hAnsiTheme="majorHAnsi" w:cstheme="majorHAnsi"/>
          <w:color w:val="000000"/>
          <w:lang w:eastAsia="pl-PL"/>
        </w:rPr>
        <w:t xml:space="preserve"> to wiodący dystrybutor ubezpieczeń na polskim rynku i właściciel czołowych spółek brokerskich w Bułgarii - I&amp;G 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Brokers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 xml:space="preserve"> i Rumunii - 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Safety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 xml:space="preserve"> Broker de 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Asigurare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 xml:space="preserve"> (prowadzącego również działalność w Mołdawii). W swojej ofercie posiada produkty ponad 40 Towarzystw Ubezpieczeniowych, które oferuje za pośrednictwem 1000 oznakowanych placówek partnerskich i sieci 14 000 Agentów. W portfolio produktów 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multiagencji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 xml:space="preserve"> znajdują się ubezpieczenia indywidualne, komunikacyjne (OC, AC i </w:t>
      </w:r>
      <w:proofErr w:type="spellStart"/>
      <w:r w:rsidRPr="00E65163">
        <w:rPr>
          <w:rFonts w:asciiTheme="majorHAnsi" w:hAnsiTheme="majorHAnsi" w:cstheme="majorHAnsi"/>
          <w:color w:val="000000"/>
          <w:lang w:eastAsia="pl-PL"/>
        </w:rPr>
        <w:t>assistance</w:t>
      </w:r>
      <w:proofErr w:type="spellEnd"/>
      <w:r w:rsidRPr="00E65163">
        <w:rPr>
          <w:rFonts w:asciiTheme="majorHAnsi" w:hAnsiTheme="majorHAnsi" w:cstheme="majorHAnsi"/>
          <w:color w:val="000000"/>
          <w:lang w:eastAsia="pl-PL"/>
        </w:rPr>
        <w:t>), ubezpieczenia domów i mieszkań, turystyczne czy ubezpieczenia na życie</w:t>
      </w:r>
      <w:r w:rsidR="002274B4" w:rsidRPr="00E65163">
        <w:rPr>
          <w:rFonts w:asciiTheme="majorHAnsi" w:hAnsiTheme="majorHAnsi" w:cstheme="majorHAnsi"/>
          <w:color w:val="000000"/>
          <w:lang w:eastAsia="pl-PL"/>
        </w:rPr>
        <w:t xml:space="preserve"> i zdrowie</w:t>
      </w:r>
      <w:r w:rsidRPr="00E65163">
        <w:rPr>
          <w:rFonts w:asciiTheme="majorHAnsi" w:hAnsiTheme="majorHAnsi" w:cstheme="majorHAnsi"/>
          <w:color w:val="000000"/>
          <w:lang w:eastAsia="pl-PL"/>
        </w:rPr>
        <w:t xml:space="preserve"> oraz produkty dla biznesu – między innymi ubezpieczenia firm, OC zawodowe, ubezpieczenia floty, ubezpieczenia CARGO czy OC przewoźnika. Misją marki jest tworzenie trwałej przewagi konkurencyjnej dla Partnerów – Agentów oraz Towarzystw Ubezpieczeń, poprzez organizowanie i zarządzanie nowoczesną strukturą sprzedaży ubezpieczeń. Unilink jest oficjalnym sponsorem Polskiej Ligi Siatkówki, a</w:t>
      </w:r>
      <w:r w:rsidR="009C7AC3" w:rsidRPr="00E65163">
        <w:rPr>
          <w:rFonts w:asciiTheme="majorHAnsi" w:hAnsiTheme="majorHAnsi" w:cstheme="majorHAnsi"/>
          <w:color w:val="000000"/>
          <w:lang w:eastAsia="pl-PL"/>
        </w:rPr>
        <w:t> </w:t>
      </w:r>
      <w:r w:rsidRPr="00E65163">
        <w:rPr>
          <w:rFonts w:asciiTheme="majorHAnsi" w:hAnsiTheme="majorHAnsi" w:cstheme="majorHAnsi"/>
          <w:color w:val="000000"/>
          <w:lang w:eastAsia="pl-PL"/>
        </w:rPr>
        <w:t xml:space="preserve">także organizatorem Olimpiady Wiedzy Ubezpieczeniowej Agentów. </w:t>
      </w:r>
    </w:p>
    <w:p w14:paraId="13305CF6" w14:textId="533A3DF9" w:rsidR="001C7D02" w:rsidRPr="00E65163" w:rsidRDefault="001C7D02" w:rsidP="00A15132">
      <w:pPr>
        <w:spacing w:after="100" w:afterAutospacing="1"/>
        <w:jc w:val="both"/>
        <w:rPr>
          <w:rFonts w:asciiTheme="majorHAnsi" w:hAnsiTheme="majorHAnsi" w:cstheme="majorHAnsi"/>
          <w:color w:val="000000"/>
          <w:lang w:eastAsia="pl-PL"/>
        </w:rPr>
      </w:pPr>
      <w:r w:rsidRPr="00E65163">
        <w:rPr>
          <w:rFonts w:asciiTheme="majorHAnsi" w:hAnsiTheme="majorHAnsi" w:cstheme="majorHAnsi"/>
          <w:color w:val="000000"/>
          <w:lang w:eastAsia="pl-PL"/>
        </w:rPr>
        <w:t xml:space="preserve">Więcej o Unilink na </w:t>
      </w:r>
      <w:hyperlink r:id="rId8" w:history="1">
        <w:r w:rsidRPr="00E65163">
          <w:rPr>
            <w:rStyle w:val="Hipercze"/>
            <w:rFonts w:asciiTheme="majorHAnsi" w:hAnsiTheme="majorHAnsi" w:cstheme="majorHAnsi"/>
            <w:lang w:eastAsia="pl-PL"/>
          </w:rPr>
          <w:t>www.unilink.pl</w:t>
        </w:r>
      </w:hyperlink>
      <w:r w:rsidRPr="00E65163">
        <w:rPr>
          <w:rStyle w:val="Hipercze"/>
          <w:rFonts w:asciiTheme="majorHAnsi" w:hAnsiTheme="majorHAnsi" w:cstheme="majorHAnsi"/>
          <w:b/>
          <w:bCs/>
          <w:color w:val="auto"/>
          <w:u w:val="none"/>
          <w:lang w:eastAsia="pl-PL"/>
        </w:rPr>
        <w:t>.</w:t>
      </w:r>
    </w:p>
    <w:p w14:paraId="18C19C8B" w14:textId="67912729" w:rsidR="00C15739" w:rsidRPr="00E65163" w:rsidRDefault="00C15739" w:rsidP="00A15132">
      <w:pPr>
        <w:pStyle w:val="Nagwek2"/>
        <w:spacing w:before="0" w:beforeAutospacing="0" w:after="0"/>
        <w:rPr>
          <w:sz w:val="22"/>
          <w:szCs w:val="22"/>
        </w:rPr>
      </w:pPr>
      <w:r w:rsidRPr="00E65163">
        <w:rPr>
          <w:sz w:val="22"/>
          <w:szCs w:val="22"/>
        </w:rPr>
        <w:t>Kontakt dla mediów:</w:t>
      </w:r>
    </w:p>
    <w:p w14:paraId="78D412B0" w14:textId="020A3D59" w:rsidR="00D0448F" w:rsidRPr="00E65163" w:rsidRDefault="00A66DA4" w:rsidP="00A15132">
      <w:pPr>
        <w:spacing w:after="0"/>
        <w:jc w:val="both"/>
        <w:rPr>
          <w:rFonts w:asciiTheme="majorHAnsi" w:hAnsiTheme="majorHAnsi" w:cstheme="majorHAnsi"/>
          <w:lang w:eastAsia="pl-PL"/>
        </w:rPr>
      </w:pPr>
      <w:r w:rsidRPr="00E65163">
        <w:rPr>
          <w:rFonts w:asciiTheme="majorHAnsi" w:hAnsiTheme="majorHAnsi" w:cstheme="majorHAnsi"/>
          <w:lang w:eastAsia="pl-PL"/>
        </w:rPr>
        <w:t>LoveBrands Relations</w:t>
      </w:r>
      <w:r w:rsidR="00C15739" w:rsidRPr="00E65163">
        <w:rPr>
          <w:rFonts w:asciiTheme="majorHAnsi" w:hAnsiTheme="majorHAnsi" w:cstheme="majorHAnsi"/>
          <w:lang w:eastAsia="pl-PL"/>
        </w:rPr>
        <w:t>, Biuro prasowe Unilink S.A.</w:t>
      </w:r>
    </w:p>
    <w:p w14:paraId="58D97A07" w14:textId="79778EF2" w:rsidR="007779A2" w:rsidRPr="00E65163" w:rsidRDefault="00D0448F" w:rsidP="00A15132">
      <w:pPr>
        <w:spacing w:after="0"/>
        <w:jc w:val="both"/>
        <w:rPr>
          <w:rFonts w:asciiTheme="majorHAnsi" w:hAnsiTheme="majorHAnsi" w:cstheme="majorHAnsi"/>
          <w:lang w:val="en-US" w:eastAsia="pl-PL"/>
        </w:rPr>
      </w:pPr>
      <w:r w:rsidRPr="00E65163">
        <w:rPr>
          <w:rFonts w:asciiTheme="majorHAnsi" w:hAnsiTheme="majorHAnsi" w:cstheme="majorHAnsi"/>
          <w:lang w:val="en-US" w:eastAsia="pl-PL"/>
        </w:rPr>
        <w:t>E</w:t>
      </w:r>
      <w:r w:rsidR="00D14EC1" w:rsidRPr="00E65163">
        <w:rPr>
          <w:rFonts w:asciiTheme="majorHAnsi" w:hAnsiTheme="majorHAnsi" w:cstheme="majorHAnsi"/>
          <w:lang w:val="en-US" w:eastAsia="pl-PL"/>
        </w:rPr>
        <w:t>-mail</w:t>
      </w:r>
      <w:r w:rsidRPr="00E65163">
        <w:rPr>
          <w:rFonts w:asciiTheme="majorHAnsi" w:hAnsiTheme="majorHAnsi" w:cstheme="majorHAnsi"/>
          <w:lang w:val="en-US" w:eastAsia="pl-PL"/>
        </w:rPr>
        <w:t xml:space="preserve">: </w:t>
      </w:r>
      <w:r w:rsidR="00A66DA4" w:rsidRPr="00E65163">
        <w:rPr>
          <w:rFonts w:asciiTheme="majorHAnsi" w:hAnsiTheme="majorHAnsi" w:cstheme="majorHAnsi"/>
          <w:lang w:val="en-US" w:eastAsia="pl-PL"/>
        </w:rPr>
        <w:t>unilink@lovebrandsgroup.pl</w:t>
      </w:r>
    </w:p>
    <w:sectPr w:rsidR="007779A2" w:rsidRPr="00E65163" w:rsidSect="00C15739">
      <w:headerReference w:type="default" r:id="rId9"/>
      <w:pgSz w:w="11906" w:h="16838"/>
      <w:pgMar w:top="720" w:right="720" w:bottom="720" w:left="720" w:header="136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D448" w14:textId="77777777" w:rsidR="0030116C" w:rsidRDefault="0030116C" w:rsidP="00DB55C0">
      <w:pPr>
        <w:spacing w:after="0" w:line="240" w:lineRule="auto"/>
      </w:pPr>
      <w:r>
        <w:separator/>
      </w:r>
    </w:p>
  </w:endnote>
  <w:endnote w:type="continuationSeparator" w:id="0">
    <w:p w14:paraId="0E10E610" w14:textId="77777777" w:rsidR="0030116C" w:rsidRDefault="0030116C" w:rsidP="00DB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F8DD" w14:textId="77777777" w:rsidR="0030116C" w:rsidRDefault="0030116C" w:rsidP="00DB55C0">
      <w:pPr>
        <w:spacing w:after="0" w:line="240" w:lineRule="auto"/>
      </w:pPr>
      <w:r>
        <w:separator/>
      </w:r>
    </w:p>
  </w:footnote>
  <w:footnote w:type="continuationSeparator" w:id="0">
    <w:p w14:paraId="350126C6" w14:textId="77777777" w:rsidR="0030116C" w:rsidRDefault="0030116C" w:rsidP="00DB55C0">
      <w:pPr>
        <w:spacing w:after="0" w:line="240" w:lineRule="auto"/>
      </w:pPr>
      <w:r>
        <w:continuationSeparator/>
      </w:r>
    </w:p>
  </w:footnote>
  <w:footnote w:id="1">
    <w:p w14:paraId="36B3ED09" w14:textId="77777777" w:rsidR="00E65163" w:rsidRPr="00A10312" w:rsidRDefault="00E65163" w:rsidP="00E65163">
      <w:pPr>
        <w:pStyle w:val="Tekstprzypisudolnego"/>
        <w:rPr>
          <w:sz w:val="18"/>
          <w:szCs w:val="18"/>
        </w:rPr>
      </w:pPr>
      <w:r w:rsidRPr="00A10312">
        <w:rPr>
          <w:rStyle w:val="Odwoanieprzypisudolnego"/>
          <w:sz w:val="18"/>
          <w:szCs w:val="18"/>
        </w:rPr>
        <w:footnoteRef/>
      </w:r>
      <w:r w:rsidRPr="00A10312">
        <w:rPr>
          <w:sz w:val="18"/>
          <w:szCs w:val="18"/>
        </w:rPr>
        <w:t xml:space="preserve"> </w:t>
      </w:r>
      <w:hyperlink r:id="rId1" w:history="1">
        <w:r w:rsidRPr="00A10312">
          <w:rPr>
            <w:rStyle w:val="Hipercze"/>
            <w:rFonts w:ascii="Calibri Light" w:hAnsi="Calibri Light" w:cs="Calibri Light"/>
            <w:sz w:val="18"/>
            <w:szCs w:val="18"/>
          </w:rPr>
          <w:t>https://www.gemius.pl/wszystkie-artykuly-aktualnosci/raport-e-commerce-w-polsce-2021.html</w:t>
        </w:r>
      </w:hyperlink>
    </w:p>
  </w:footnote>
  <w:footnote w:id="2">
    <w:p w14:paraId="2F993A6D" w14:textId="77777777" w:rsidR="00E65163" w:rsidRPr="00A10312" w:rsidRDefault="00E65163" w:rsidP="00E65163">
      <w:pPr>
        <w:pStyle w:val="Tekstprzypisudolnego"/>
        <w:rPr>
          <w:sz w:val="18"/>
          <w:szCs w:val="18"/>
        </w:rPr>
      </w:pPr>
      <w:r w:rsidRPr="00A10312">
        <w:rPr>
          <w:rStyle w:val="Odwoanieprzypisudolnego"/>
          <w:sz w:val="18"/>
          <w:szCs w:val="18"/>
        </w:rPr>
        <w:footnoteRef/>
      </w:r>
      <w:r w:rsidRPr="00A10312">
        <w:rPr>
          <w:sz w:val="18"/>
          <w:szCs w:val="18"/>
        </w:rPr>
        <w:t xml:space="preserve"> </w:t>
      </w:r>
      <w:r w:rsidRPr="00A10312">
        <w:rPr>
          <w:rStyle w:val="Hipercze"/>
          <w:rFonts w:ascii="Calibri Light" w:hAnsi="Calibri Light" w:cs="Calibri Light"/>
          <w:sz w:val="18"/>
          <w:szCs w:val="18"/>
        </w:rPr>
        <w:t xml:space="preserve">Badanie CBOS: </w:t>
      </w:r>
      <w:hyperlink r:id="rId2" w:history="1">
        <w:r w:rsidRPr="00A10312">
          <w:rPr>
            <w:rStyle w:val="Hipercze"/>
            <w:rFonts w:ascii="Calibri Light" w:hAnsi="Calibri Light" w:cs="Calibri Light"/>
            <w:sz w:val="18"/>
            <w:szCs w:val="18"/>
          </w:rPr>
          <w:t>https://www.cbos.pl/SPISKOM.POL/2021/K_116_21.PDF</w:t>
        </w:r>
      </w:hyperlink>
    </w:p>
  </w:footnote>
  <w:footnote w:id="3">
    <w:p w14:paraId="20D2FE27" w14:textId="77777777" w:rsidR="00710745" w:rsidRDefault="00710745" w:rsidP="00710745">
      <w:r>
        <w:rPr>
          <w:rStyle w:val="Odwoanieprzypisudolnego"/>
        </w:rPr>
        <w:footnoteRef/>
      </w:r>
      <w:r w:rsidRPr="00893640">
        <w:rPr>
          <w:rStyle w:val="Hipercze"/>
          <w:rFonts w:ascii="Calibri Light" w:hAnsi="Calibri Light" w:cs="Calibri Light"/>
          <w:sz w:val="18"/>
          <w:szCs w:val="18"/>
        </w:rPr>
        <w:t xml:space="preserve"> </w:t>
      </w:r>
      <w:hyperlink r:id="rId3" w:history="1">
        <w:r w:rsidRPr="00893640">
          <w:rPr>
            <w:rStyle w:val="Hipercze"/>
            <w:rFonts w:ascii="Calibri Light" w:hAnsi="Calibri Light" w:cs="Calibri Light"/>
            <w:sz w:val="18"/>
            <w:szCs w:val="18"/>
          </w:rPr>
          <w:t>https://stat.gov.pl/obszary-tematyczne/nauka-i-technika-spoleczenstwo-informacyjne/nauka-i-technika/dzialalnosc-innowacyjna-przedsiebiorstw-w-latach-2018-2020,2,20.html</w:t>
        </w:r>
      </w:hyperlink>
    </w:p>
    <w:p w14:paraId="7C001122" w14:textId="596CE220" w:rsidR="00710745" w:rsidRDefault="00710745">
      <w:pPr>
        <w:pStyle w:val="Tekstprzypisudolnego"/>
      </w:pPr>
    </w:p>
  </w:footnote>
  <w:footnote w:id="4">
    <w:p w14:paraId="0E5C5CAA" w14:textId="77777777" w:rsidR="00E65163" w:rsidRDefault="00E65163" w:rsidP="00E651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037D5B">
          <w:rPr>
            <w:rStyle w:val="Hipercze"/>
            <w:sz w:val="14"/>
            <w:szCs w:val="14"/>
          </w:rPr>
          <w:t>https://piu.org.pl/wp-content/uploads/2021/06/ACC_PIU_Raport-Cyfryzacja-Ubezpieczen-w-Polsce.pdf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3703" w14:textId="366865B7" w:rsidR="00DB55C0" w:rsidRDefault="00900F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349790" wp14:editId="1D4CB51D">
          <wp:simplePos x="0" y="0"/>
          <wp:positionH relativeFrom="margin">
            <wp:align>right</wp:align>
          </wp:positionH>
          <wp:positionV relativeFrom="paragraph">
            <wp:posOffset>-568960</wp:posOffset>
          </wp:positionV>
          <wp:extent cx="1382395" cy="480060"/>
          <wp:effectExtent l="0" t="0" r="8255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7F2"/>
    <w:multiLevelType w:val="hybridMultilevel"/>
    <w:tmpl w:val="EA8A63D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681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A6D"/>
    <w:multiLevelType w:val="hybridMultilevel"/>
    <w:tmpl w:val="B2BE918A"/>
    <w:lvl w:ilvl="0" w:tplc="7546A400">
      <w:start w:val="1"/>
      <w:numFmt w:val="decimal"/>
      <w:lvlText w:val="%1."/>
      <w:lvlJc w:val="center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E5"/>
    <w:multiLevelType w:val="hybridMultilevel"/>
    <w:tmpl w:val="78D8560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5C33"/>
    <w:multiLevelType w:val="hybridMultilevel"/>
    <w:tmpl w:val="7AD4B078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90F"/>
    <w:multiLevelType w:val="hybridMultilevel"/>
    <w:tmpl w:val="44FAB8C4"/>
    <w:lvl w:ilvl="0" w:tplc="57A00E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40CD"/>
    <w:multiLevelType w:val="hybridMultilevel"/>
    <w:tmpl w:val="6ECCE91E"/>
    <w:lvl w:ilvl="0" w:tplc="93BAD4D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C7E"/>
    <w:multiLevelType w:val="hybridMultilevel"/>
    <w:tmpl w:val="1D22F196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B1CE1"/>
    <w:multiLevelType w:val="multilevel"/>
    <w:tmpl w:val="4CF49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BA45533"/>
    <w:multiLevelType w:val="hybridMultilevel"/>
    <w:tmpl w:val="E31E8CDC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6E52"/>
    <w:multiLevelType w:val="hybridMultilevel"/>
    <w:tmpl w:val="8F9A77D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50283"/>
    <w:multiLevelType w:val="hybridMultilevel"/>
    <w:tmpl w:val="3F14373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B402D"/>
    <w:multiLevelType w:val="hybridMultilevel"/>
    <w:tmpl w:val="A250742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F2561"/>
    <w:multiLevelType w:val="hybridMultilevel"/>
    <w:tmpl w:val="9CEA60FE"/>
    <w:lvl w:ilvl="0" w:tplc="3EA0C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92700"/>
    <w:multiLevelType w:val="hybridMultilevel"/>
    <w:tmpl w:val="0F6C1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5C93"/>
    <w:multiLevelType w:val="hybridMultilevel"/>
    <w:tmpl w:val="DB2A81C0"/>
    <w:lvl w:ilvl="0" w:tplc="11E4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A1CC2"/>
    <w:multiLevelType w:val="hybridMultilevel"/>
    <w:tmpl w:val="D5DE58A4"/>
    <w:lvl w:ilvl="0" w:tplc="902A0DB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53E82"/>
    <w:multiLevelType w:val="hybridMultilevel"/>
    <w:tmpl w:val="6CDEE8F8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91554"/>
    <w:multiLevelType w:val="hybridMultilevel"/>
    <w:tmpl w:val="DCBA8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756BE"/>
    <w:multiLevelType w:val="hybridMultilevel"/>
    <w:tmpl w:val="A6209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5C5"/>
    <w:multiLevelType w:val="hybridMultilevel"/>
    <w:tmpl w:val="116CA994"/>
    <w:lvl w:ilvl="0" w:tplc="E5BE547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764258"/>
    <w:multiLevelType w:val="hybridMultilevel"/>
    <w:tmpl w:val="0F6C12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C6390"/>
    <w:multiLevelType w:val="hybridMultilevel"/>
    <w:tmpl w:val="7042350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82A9E"/>
    <w:multiLevelType w:val="hybridMultilevel"/>
    <w:tmpl w:val="68DEA0E2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82609"/>
    <w:multiLevelType w:val="hybridMultilevel"/>
    <w:tmpl w:val="BC14E61C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D57D35"/>
    <w:multiLevelType w:val="hybridMultilevel"/>
    <w:tmpl w:val="33D6E2AE"/>
    <w:lvl w:ilvl="0" w:tplc="66F2E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16"/>
  </w:num>
  <w:num w:numId="12">
    <w:abstractNumId w:val="23"/>
  </w:num>
  <w:num w:numId="13">
    <w:abstractNumId w:val="14"/>
  </w:num>
  <w:num w:numId="14">
    <w:abstractNumId w:val="24"/>
  </w:num>
  <w:num w:numId="15">
    <w:abstractNumId w:val="12"/>
  </w:num>
  <w:num w:numId="16">
    <w:abstractNumId w:val="10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2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0"/>
    <w:rsid w:val="00003F11"/>
    <w:rsid w:val="00010FB9"/>
    <w:rsid w:val="00010FCF"/>
    <w:rsid w:val="000172EE"/>
    <w:rsid w:val="000221EE"/>
    <w:rsid w:val="00023809"/>
    <w:rsid w:val="00036DBA"/>
    <w:rsid w:val="00040F7F"/>
    <w:rsid w:val="000447CD"/>
    <w:rsid w:val="0005269B"/>
    <w:rsid w:val="00054A5F"/>
    <w:rsid w:val="000567BE"/>
    <w:rsid w:val="00056E02"/>
    <w:rsid w:val="00061D5A"/>
    <w:rsid w:val="00072BAB"/>
    <w:rsid w:val="00072F50"/>
    <w:rsid w:val="00075B0F"/>
    <w:rsid w:val="000930B3"/>
    <w:rsid w:val="00094C14"/>
    <w:rsid w:val="000953E9"/>
    <w:rsid w:val="00096342"/>
    <w:rsid w:val="00096DD6"/>
    <w:rsid w:val="000A20C1"/>
    <w:rsid w:val="000A28B8"/>
    <w:rsid w:val="000A2E81"/>
    <w:rsid w:val="000A4597"/>
    <w:rsid w:val="000B39E5"/>
    <w:rsid w:val="000B51E9"/>
    <w:rsid w:val="000B6383"/>
    <w:rsid w:val="000B7338"/>
    <w:rsid w:val="000C0C9A"/>
    <w:rsid w:val="000C344D"/>
    <w:rsid w:val="000C3EC6"/>
    <w:rsid w:val="000C4ADA"/>
    <w:rsid w:val="000D16B1"/>
    <w:rsid w:val="000E002D"/>
    <w:rsid w:val="000E260B"/>
    <w:rsid w:val="000E37FD"/>
    <w:rsid w:val="000E50C1"/>
    <w:rsid w:val="000E6C25"/>
    <w:rsid w:val="000F05F7"/>
    <w:rsid w:val="000F2D8D"/>
    <w:rsid w:val="000F5FF0"/>
    <w:rsid w:val="000F7528"/>
    <w:rsid w:val="00100E74"/>
    <w:rsid w:val="00107093"/>
    <w:rsid w:val="00110CC7"/>
    <w:rsid w:val="0013752C"/>
    <w:rsid w:val="00151D7E"/>
    <w:rsid w:val="00153C1A"/>
    <w:rsid w:val="00154295"/>
    <w:rsid w:val="00154984"/>
    <w:rsid w:val="00155566"/>
    <w:rsid w:val="00163D0D"/>
    <w:rsid w:val="001648E2"/>
    <w:rsid w:val="00170111"/>
    <w:rsid w:val="00170D91"/>
    <w:rsid w:val="0017183B"/>
    <w:rsid w:val="001721FD"/>
    <w:rsid w:val="001729A8"/>
    <w:rsid w:val="001760A4"/>
    <w:rsid w:val="00182EDC"/>
    <w:rsid w:val="001841FB"/>
    <w:rsid w:val="00187030"/>
    <w:rsid w:val="00192D74"/>
    <w:rsid w:val="00193798"/>
    <w:rsid w:val="00195CC9"/>
    <w:rsid w:val="0019650F"/>
    <w:rsid w:val="001A18B0"/>
    <w:rsid w:val="001A52AE"/>
    <w:rsid w:val="001B09F0"/>
    <w:rsid w:val="001C1B09"/>
    <w:rsid w:val="001C45C6"/>
    <w:rsid w:val="001C58FF"/>
    <w:rsid w:val="001C7D02"/>
    <w:rsid w:val="001E2C53"/>
    <w:rsid w:val="001E4641"/>
    <w:rsid w:val="001E71F8"/>
    <w:rsid w:val="001F0180"/>
    <w:rsid w:val="001F5DA8"/>
    <w:rsid w:val="00203ED0"/>
    <w:rsid w:val="002116D4"/>
    <w:rsid w:val="00212021"/>
    <w:rsid w:val="00212D8D"/>
    <w:rsid w:val="0021321B"/>
    <w:rsid w:val="002134A9"/>
    <w:rsid w:val="002141D1"/>
    <w:rsid w:val="0022425C"/>
    <w:rsid w:val="00225EA6"/>
    <w:rsid w:val="00226F37"/>
    <w:rsid w:val="002274B4"/>
    <w:rsid w:val="00232672"/>
    <w:rsid w:val="002346A3"/>
    <w:rsid w:val="00241982"/>
    <w:rsid w:val="002423FC"/>
    <w:rsid w:val="00243D27"/>
    <w:rsid w:val="002446A4"/>
    <w:rsid w:val="0024501B"/>
    <w:rsid w:val="00255B99"/>
    <w:rsid w:val="00255FB6"/>
    <w:rsid w:val="00263BD9"/>
    <w:rsid w:val="00270E07"/>
    <w:rsid w:val="0027494D"/>
    <w:rsid w:val="00275FC2"/>
    <w:rsid w:val="00282112"/>
    <w:rsid w:val="00283440"/>
    <w:rsid w:val="0028479D"/>
    <w:rsid w:val="00287B6A"/>
    <w:rsid w:val="00293C48"/>
    <w:rsid w:val="00295B9E"/>
    <w:rsid w:val="002A09ED"/>
    <w:rsid w:val="002B106D"/>
    <w:rsid w:val="002B16DA"/>
    <w:rsid w:val="002B3439"/>
    <w:rsid w:val="002B5804"/>
    <w:rsid w:val="002C01AE"/>
    <w:rsid w:val="002C5C6C"/>
    <w:rsid w:val="002C5F42"/>
    <w:rsid w:val="002C6710"/>
    <w:rsid w:val="002E14E0"/>
    <w:rsid w:val="002E6F43"/>
    <w:rsid w:val="002E7C83"/>
    <w:rsid w:val="003005C6"/>
    <w:rsid w:val="0030116C"/>
    <w:rsid w:val="0031035A"/>
    <w:rsid w:val="00312195"/>
    <w:rsid w:val="0031592F"/>
    <w:rsid w:val="0031700C"/>
    <w:rsid w:val="00320C53"/>
    <w:rsid w:val="003214D1"/>
    <w:rsid w:val="003219D6"/>
    <w:rsid w:val="003316D5"/>
    <w:rsid w:val="00331BC9"/>
    <w:rsid w:val="00333CCE"/>
    <w:rsid w:val="00336FE6"/>
    <w:rsid w:val="0034672A"/>
    <w:rsid w:val="00352001"/>
    <w:rsid w:val="00352AB6"/>
    <w:rsid w:val="00356DEF"/>
    <w:rsid w:val="003609D5"/>
    <w:rsid w:val="003667B1"/>
    <w:rsid w:val="00372742"/>
    <w:rsid w:val="003804BF"/>
    <w:rsid w:val="00380FD0"/>
    <w:rsid w:val="0038266C"/>
    <w:rsid w:val="0038286C"/>
    <w:rsid w:val="00386973"/>
    <w:rsid w:val="003912F5"/>
    <w:rsid w:val="00391C82"/>
    <w:rsid w:val="00393071"/>
    <w:rsid w:val="00393D40"/>
    <w:rsid w:val="003A0A8C"/>
    <w:rsid w:val="003A1E42"/>
    <w:rsid w:val="003A522B"/>
    <w:rsid w:val="003B6C7D"/>
    <w:rsid w:val="003C0BE2"/>
    <w:rsid w:val="003C2F49"/>
    <w:rsid w:val="003D13CB"/>
    <w:rsid w:val="003D3E6A"/>
    <w:rsid w:val="003E0177"/>
    <w:rsid w:val="003E04E1"/>
    <w:rsid w:val="003F05B5"/>
    <w:rsid w:val="003F0657"/>
    <w:rsid w:val="003F1BA5"/>
    <w:rsid w:val="003F29E2"/>
    <w:rsid w:val="00406670"/>
    <w:rsid w:val="00413761"/>
    <w:rsid w:val="004154B2"/>
    <w:rsid w:val="00417B80"/>
    <w:rsid w:val="0042088B"/>
    <w:rsid w:val="00430B1B"/>
    <w:rsid w:val="004324E4"/>
    <w:rsid w:val="004363F5"/>
    <w:rsid w:val="00444EE6"/>
    <w:rsid w:val="00451DDA"/>
    <w:rsid w:val="00453CA0"/>
    <w:rsid w:val="0045584B"/>
    <w:rsid w:val="00460C05"/>
    <w:rsid w:val="004712B7"/>
    <w:rsid w:val="00473282"/>
    <w:rsid w:val="00474E44"/>
    <w:rsid w:val="004821E8"/>
    <w:rsid w:val="00482495"/>
    <w:rsid w:val="00482C01"/>
    <w:rsid w:val="004A1591"/>
    <w:rsid w:val="004A1CF4"/>
    <w:rsid w:val="004A3431"/>
    <w:rsid w:val="004A3CC3"/>
    <w:rsid w:val="004A5FB6"/>
    <w:rsid w:val="004A74C9"/>
    <w:rsid w:val="004C0B16"/>
    <w:rsid w:val="004C2F21"/>
    <w:rsid w:val="004C5DF4"/>
    <w:rsid w:val="004E4149"/>
    <w:rsid w:val="004F06B0"/>
    <w:rsid w:val="004F2363"/>
    <w:rsid w:val="004F2F47"/>
    <w:rsid w:val="0050375E"/>
    <w:rsid w:val="00506B66"/>
    <w:rsid w:val="005076DF"/>
    <w:rsid w:val="00516F7E"/>
    <w:rsid w:val="00530A97"/>
    <w:rsid w:val="005310AA"/>
    <w:rsid w:val="00534EE3"/>
    <w:rsid w:val="00535962"/>
    <w:rsid w:val="00540F35"/>
    <w:rsid w:val="00551EE2"/>
    <w:rsid w:val="00552778"/>
    <w:rsid w:val="00555F79"/>
    <w:rsid w:val="00565622"/>
    <w:rsid w:val="0056769B"/>
    <w:rsid w:val="005742D3"/>
    <w:rsid w:val="00584C1B"/>
    <w:rsid w:val="0059022E"/>
    <w:rsid w:val="00593947"/>
    <w:rsid w:val="005953CE"/>
    <w:rsid w:val="005957E3"/>
    <w:rsid w:val="00595854"/>
    <w:rsid w:val="005A2FE6"/>
    <w:rsid w:val="005B03B1"/>
    <w:rsid w:val="005C4EB1"/>
    <w:rsid w:val="005D5D12"/>
    <w:rsid w:val="005E71B1"/>
    <w:rsid w:val="005F7C75"/>
    <w:rsid w:val="00600CEA"/>
    <w:rsid w:val="00601E0E"/>
    <w:rsid w:val="006023EC"/>
    <w:rsid w:val="006025F7"/>
    <w:rsid w:val="006177A7"/>
    <w:rsid w:val="00617CE1"/>
    <w:rsid w:val="006264EB"/>
    <w:rsid w:val="006314EE"/>
    <w:rsid w:val="00651183"/>
    <w:rsid w:val="00652CC6"/>
    <w:rsid w:val="00655775"/>
    <w:rsid w:val="00666A13"/>
    <w:rsid w:val="00667060"/>
    <w:rsid w:val="00673C76"/>
    <w:rsid w:val="00677220"/>
    <w:rsid w:val="00680A65"/>
    <w:rsid w:val="00681080"/>
    <w:rsid w:val="00685E5D"/>
    <w:rsid w:val="006875CA"/>
    <w:rsid w:val="0069057C"/>
    <w:rsid w:val="00690F85"/>
    <w:rsid w:val="006925F8"/>
    <w:rsid w:val="00694F04"/>
    <w:rsid w:val="006955E5"/>
    <w:rsid w:val="00696F3C"/>
    <w:rsid w:val="006A0AB1"/>
    <w:rsid w:val="006A548B"/>
    <w:rsid w:val="006B4A99"/>
    <w:rsid w:val="006C50AB"/>
    <w:rsid w:val="006E2F8A"/>
    <w:rsid w:val="006F704C"/>
    <w:rsid w:val="007033F7"/>
    <w:rsid w:val="00706703"/>
    <w:rsid w:val="00710745"/>
    <w:rsid w:val="00712297"/>
    <w:rsid w:val="00724AA2"/>
    <w:rsid w:val="00727928"/>
    <w:rsid w:val="0073257B"/>
    <w:rsid w:val="007329C3"/>
    <w:rsid w:val="00734BC0"/>
    <w:rsid w:val="007372F9"/>
    <w:rsid w:val="00740C3B"/>
    <w:rsid w:val="00744C0C"/>
    <w:rsid w:val="007470F6"/>
    <w:rsid w:val="00750FE9"/>
    <w:rsid w:val="00761B90"/>
    <w:rsid w:val="00762A92"/>
    <w:rsid w:val="007633DB"/>
    <w:rsid w:val="007665CB"/>
    <w:rsid w:val="00772D23"/>
    <w:rsid w:val="007779A2"/>
    <w:rsid w:val="00783127"/>
    <w:rsid w:val="00786EF4"/>
    <w:rsid w:val="00792639"/>
    <w:rsid w:val="007935AC"/>
    <w:rsid w:val="00797737"/>
    <w:rsid w:val="007A5281"/>
    <w:rsid w:val="007A62E5"/>
    <w:rsid w:val="007A6B5E"/>
    <w:rsid w:val="007B6DB8"/>
    <w:rsid w:val="007B7F04"/>
    <w:rsid w:val="007C2B48"/>
    <w:rsid w:val="007D38AC"/>
    <w:rsid w:val="007E1685"/>
    <w:rsid w:val="007E367B"/>
    <w:rsid w:val="007E7308"/>
    <w:rsid w:val="007F3AC7"/>
    <w:rsid w:val="007F51ED"/>
    <w:rsid w:val="007F5FE8"/>
    <w:rsid w:val="00800FC4"/>
    <w:rsid w:val="00801A2F"/>
    <w:rsid w:val="00801FBC"/>
    <w:rsid w:val="008119B4"/>
    <w:rsid w:val="00813FBB"/>
    <w:rsid w:val="0081466D"/>
    <w:rsid w:val="00820C89"/>
    <w:rsid w:val="008232D6"/>
    <w:rsid w:val="00824A34"/>
    <w:rsid w:val="00834DD8"/>
    <w:rsid w:val="008373E0"/>
    <w:rsid w:val="00842566"/>
    <w:rsid w:val="008432F8"/>
    <w:rsid w:val="00843798"/>
    <w:rsid w:val="008445A9"/>
    <w:rsid w:val="00845B4B"/>
    <w:rsid w:val="00855422"/>
    <w:rsid w:val="00855CDD"/>
    <w:rsid w:val="00864F7D"/>
    <w:rsid w:val="00867E29"/>
    <w:rsid w:val="00881C88"/>
    <w:rsid w:val="008839D8"/>
    <w:rsid w:val="00891D9F"/>
    <w:rsid w:val="00893640"/>
    <w:rsid w:val="008B298C"/>
    <w:rsid w:val="008C0571"/>
    <w:rsid w:val="008C41F3"/>
    <w:rsid w:val="008C565C"/>
    <w:rsid w:val="008C57A1"/>
    <w:rsid w:val="008C5E77"/>
    <w:rsid w:val="008C6F82"/>
    <w:rsid w:val="008D62F0"/>
    <w:rsid w:val="008F11E9"/>
    <w:rsid w:val="00900F95"/>
    <w:rsid w:val="009068AD"/>
    <w:rsid w:val="0091445A"/>
    <w:rsid w:val="00925CE3"/>
    <w:rsid w:val="0093667F"/>
    <w:rsid w:val="009370ED"/>
    <w:rsid w:val="00937B5F"/>
    <w:rsid w:val="009477E7"/>
    <w:rsid w:val="0095247A"/>
    <w:rsid w:val="0095703E"/>
    <w:rsid w:val="009577E6"/>
    <w:rsid w:val="00963FC6"/>
    <w:rsid w:val="00965FBA"/>
    <w:rsid w:val="00967867"/>
    <w:rsid w:val="00973DFD"/>
    <w:rsid w:val="0097544B"/>
    <w:rsid w:val="0097596B"/>
    <w:rsid w:val="00975E5A"/>
    <w:rsid w:val="00976393"/>
    <w:rsid w:val="00976980"/>
    <w:rsid w:val="00980115"/>
    <w:rsid w:val="00982BC8"/>
    <w:rsid w:val="00984329"/>
    <w:rsid w:val="009A2710"/>
    <w:rsid w:val="009A30FE"/>
    <w:rsid w:val="009A4AA3"/>
    <w:rsid w:val="009B3037"/>
    <w:rsid w:val="009B382C"/>
    <w:rsid w:val="009B549A"/>
    <w:rsid w:val="009C7AC3"/>
    <w:rsid w:val="009D3F35"/>
    <w:rsid w:val="009D5E45"/>
    <w:rsid w:val="009E2EAE"/>
    <w:rsid w:val="009E4FD9"/>
    <w:rsid w:val="009F3852"/>
    <w:rsid w:val="00A03E90"/>
    <w:rsid w:val="00A051DD"/>
    <w:rsid w:val="00A13B79"/>
    <w:rsid w:val="00A15132"/>
    <w:rsid w:val="00A30ED7"/>
    <w:rsid w:val="00A35C6B"/>
    <w:rsid w:val="00A42F67"/>
    <w:rsid w:val="00A50037"/>
    <w:rsid w:val="00A52D03"/>
    <w:rsid w:val="00A61E38"/>
    <w:rsid w:val="00A62601"/>
    <w:rsid w:val="00A64B01"/>
    <w:rsid w:val="00A65E1E"/>
    <w:rsid w:val="00A66310"/>
    <w:rsid w:val="00A66DA4"/>
    <w:rsid w:val="00A7386A"/>
    <w:rsid w:val="00A76C4E"/>
    <w:rsid w:val="00A80CB1"/>
    <w:rsid w:val="00A80D2F"/>
    <w:rsid w:val="00A82A44"/>
    <w:rsid w:val="00A85FB9"/>
    <w:rsid w:val="00A925C1"/>
    <w:rsid w:val="00A929FE"/>
    <w:rsid w:val="00AA0F24"/>
    <w:rsid w:val="00AC57A9"/>
    <w:rsid w:val="00AC7780"/>
    <w:rsid w:val="00AC7F9F"/>
    <w:rsid w:val="00AD5F71"/>
    <w:rsid w:val="00AE372B"/>
    <w:rsid w:val="00AE689B"/>
    <w:rsid w:val="00AE7011"/>
    <w:rsid w:val="00AF470D"/>
    <w:rsid w:val="00AF75AA"/>
    <w:rsid w:val="00B00462"/>
    <w:rsid w:val="00B02E98"/>
    <w:rsid w:val="00B051A8"/>
    <w:rsid w:val="00B10D8E"/>
    <w:rsid w:val="00B14C78"/>
    <w:rsid w:val="00B152CE"/>
    <w:rsid w:val="00B17467"/>
    <w:rsid w:val="00B468A9"/>
    <w:rsid w:val="00B529BE"/>
    <w:rsid w:val="00B53501"/>
    <w:rsid w:val="00B63A59"/>
    <w:rsid w:val="00B66D9C"/>
    <w:rsid w:val="00B72088"/>
    <w:rsid w:val="00B7767A"/>
    <w:rsid w:val="00B816B5"/>
    <w:rsid w:val="00B84623"/>
    <w:rsid w:val="00B8472B"/>
    <w:rsid w:val="00B85FBB"/>
    <w:rsid w:val="00B86AE6"/>
    <w:rsid w:val="00BB01BD"/>
    <w:rsid w:val="00BC1F01"/>
    <w:rsid w:val="00BC3A5A"/>
    <w:rsid w:val="00BC4D00"/>
    <w:rsid w:val="00BD386D"/>
    <w:rsid w:val="00BD395C"/>
    <w:rsid w:val="00BE4CE3"/>
    <w:rsid w:val="00BE614F"/>
    <w:rsid w:val="00BE7407"/>
    <w:rsid w:val="00BE7F84"/>
    <w:rsid w:val="00BF05A6"/>
    <w:rsid w:val="00BF174C"/>
    <w:rsid w:val="00BF4FA7"/>
    <w:rsid w:val="00BF733E"/>
    <w:rsid w:val="00C0025B"/>
    <w:rsid w:val="00C04B4D"/>
    <w:rsid w:val="00C05547"/>
    <w:rsid w:val="00C07F52"/>
    <w:rsid w:val="00C105C5"/>
    <w:rsid w:val="00C124AD"/>
    <w:rsid w:val="00C15739"/>
    <w:rsid w:val="00C22398"/>
    <w:rsid w:val="00C25D42"/>
    <w:rsid w:val="00C26E46"/>
    <w:rsid w:val="00C31FF5"/>
    <w:rsid w:val="00C32B37"/>
    <w:rsid w:val="00C426A1"/>
    <w:rsid w:val="00C4528A"/>
    <w:rsid w:val="00C47C48"/>
    <w:rsid w:val="00C50926"/>
    <w:rsid w:val="00C52137"/>
    <w:rsid w:val="00C52CAD"/>
    <w:rsid w:val="00C5624E"/>
    <w:rsid w:val="00C5662F"/>
    <w:rsid w:val="00C61D04"/>
    <w:rsid w:val="00C62BB2"/>
    <w:rsid w:val="00C64243"/>
    <w:rsid w:val="00C735C8"/>
    <w:rsid w:val="00C73BAD"/>
    <w:rsid w:val="00C774FE"/>
    <w:rsid w:val="00C80945"/>
    <w:rsid w:val="00C82F30"/>
    <w:rsid w:val="00C90C37"/>
    <w:rsid w:val="00C928AF"/>
    <w:rsid w:val="00C9466C"/>
    <w:rsid w:val="00CA00A1"/>
    <w:rsid w:val="00CC64A3"/>
    <w:rsid w:val="00CD74F6"/>
    <w:rsid w:val="00CD755D"/>
    <w:rsid w:val="00D0448F"/>
    <w:rsid w:val="00D1074A"/>
    <w:rsid w:val="00D13282"/>
    <w:rsid w:val="00D14EC1"/>
    <w:rsid w:val="00D1581B"/>
    <w:rsid w:val="00D2708E"/>
    <w:rsid w:val="00D30595"/>
    <w:rsid w:val="00D33D80"/>
    <w:rsid w:val="00D408D4"/>
    <w:rsid w:val="00D46CD0"/>
    <w:rsid w:val="00D470CC"/>
    <w:rsid w:val="00D51E53"/>
    <w:rsid w:val="00D54A84"/>
    <w:rsid w:val="00D5608F"/>
    <w:rsid w:val="00D64CE2"/>
    <w:rsid w:val="00D71A66"/>
    <w:rsid w:val="00D7543F"/>
    <w:rsid w:val="00D75650"/>
    <w:rsid w:val="00D77170"/>
    <w:rsid w:val="00D83172"/>
    <w:rsid w:val="00D848B5"/>
    <w:rsid w:val="00D85FE5"/>
    <w:rsid w:val="00D93B13"/>
    <w:rsid w:val="00DB2248"/>
    <w:rsid w:val="00DB39FE"/>
    <w:rsid w:val="00DB3B68"/>
    <w:rsid w:val="00DB55C0"/>
    <w:rsid w:val="00DB6C30"/>
    <w:rsid w:val="00DC168A"/>
    <w:rsid w:val="00DC798F"/>
    <w:rsid w:val="00DD2127"/>
    <w:rsid w:val="00DD6151"/>
    <w:rsid w:val="00DD768F"/>
    <w:rsid w:val="00DD7C3D"/>
    <w:rsid w:val="00DE0556"/>
    <w:rsid w:val="00DE176D"/>
    <w:rsid w:val="00DE5302"/>
    <w:rsid w:val="00DE56C6"/>
    <w:rsid w:val="00DE6481"/>
    <w:rsid w:val="00DF6FD9"/>
    <w:rsid w:val="00E023AA"/>
    <w:rsid w:val="00E02CFF"/>
    <w:rsid w:val="00E101BE"/>
    <w:rsid w:val="00E10B67"/>
    <w:rsid w:val="00E21219"/>
    <w:rsid w:val="00E32B42"/>
    <w:rsid w:val="00E32D1A"/>
    <w:rsid w:val="00E4065A"/>
    <w:rsid w:val="00E4364E"/>
    <w:rsid w:val="00E57812"/>
    <w:rsid w:val="00E61998"/>
    <w:rsid w:val="00E622F3"/>
    <w:rsid w:val="00E65163"/>
    <w:rsid w:val="00E66501"/>
    <w:rsid w:val="00E8209E"/>
    <w:rsid w:val="00E903EB"/>
    <w:rsid w:val="00E92E51"/>
    <w:rsid w:val="00E96855"/>
    <w:rsid w:val="00EA4EB2"/>
    <w:rsid w:val="00EA5013"/>
    <w:rsid w:val="00EB7477"/>
    <w:rsid w:val="00EC0129"/>
    <w:rsid w:val="00EC0233"/>
    <w:rsid w:val="00EC3A65"/>
    <w:rsid w:val="00EC7207"/>
    <w:rsid w:val="00EE50CF"/>
    <w:rsid w:val="00EF05A7"/>
    <w:rsid w:val="00EF4A85"/>
    <w:rsid w:val="00F01819"/>
    <w:rsid w:val="00F04A39"/>
    <w:rsid w:val="00F12B37"/>
    <w:rsid w:val="00F22E41"/>
    <w:rsid w:val="00F247DA"/>
    <w:rsid w:val="00F35731"/>
    <w:rsid w:val="00F4368B"/>
    <w:rsid w:val="00F44069"/>
    <w:rsid w:val="00F63E84"/>
    <w:rsid w:val="00F65093"/>
    <w:rsid w:val="00F67974"/>
    <w:rsid w:val="00F71322"/>
    <w:rsid w:val="00F71F7D"/>
    <w:rsid w:val="00F801BD"/>
    <w:rsid w:val="00F83C61"/>
    <w:rsid w:val="00F84FE8"/>
    <w:rsid w:val="00F90DE3"/>
    <w:rsid w:val="00F93F6F"/>
    <w:rsid w:val="00F97D9C"/>
    <w:rsid w:val="00FB2BDB"/>
    <w:rsid w:val="00FB58A8"/>
    <w:rsid w:val="00FC0FD0"/>
    <w:rsid w:val="00FC1B64"/>
    <w:rsid w:val="00FC1F84"/>
    <w:rsid w:val="00FC4B83"/>
    <w:rsid w:val="00FC69AF"/>
    <w:rsid w:val="00FD2044"/>
    <w:rsid w:val="00FE1FC4"/>
    <w:rsid w:val="00FE5E9F"/>
    <w:rsid w:val="00FE6CF1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1855"/>
  <w15:chartTrackingRefBased/>
  <w15:docId w15:val="{DB44FDAD-8B06-4D53-87FF-D32C8FA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8C"/>
  </w:style>
  <w:style w:type="paragraph" w:styleId="Nagwek1">
    <w:name w:val="heading 1"/>
    <w:basedOn w:val="Normalny"/>
    <w:next w:val="Normalny"/>
    <w:link w:val="Nagwek1Znak"/>
    <w:uiPriority w:val="9"/>
    <w:qFormat/>
    <w:rsid w:val="00685E5D"/>
    <w:pPr>
      <w:spacing w:before="100" w:beforeAutospacing="1" w:after="120" w:line="240" w:lineRule="auto"/>
      <w:outlineLvl w:val="0"/>
    </w:pPr>
    <w:rPr>
      <w:rFonts w:eastAsia="Times New Roman"/>
      <w:b/>
      <w:bCs/>
      <w:color w:val="002060"/>
      <w:sz w:val="32"/>
      <w:szCs w:val="32"/>
      <w:lang w:eastAsia="pl-PL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685E5D"/>
    <w:pPr>
      <w:spacing w:after="6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C0"/>
    <w:pPr>
      <w:ind w:left="720"/>
      <w:contextualSpacing/>
    </w:pPr>
  </w:style>
  <w:style w:type="table" w:styleId="Tabela-Siatka">
    <w:name w:val="Table Grid"/>
    <w:basedOn w:val="Standardowy"/>
    <w:uiPriority w:val="39"/>
    <w:rsid w:val="00DB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5C0"/>
  </w:style>
  <w:style w:type="paragraph" w:styleId="Stopka">
    <w:name w:val="footer"/>
    <w:basedOn w:val="Normalny"/>
    <w:link w:val="Stopka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5C0"/>
  </w:style>
  <w:style w:type="character" w:styleId="Tekstzastpczy">
    <w:name w:val="Placeholder Text"/>
    <w:basedOn w:val="Domylnaczcionkaakapitu"/>
    <w:uiPriority w:val="99"/>
    <w:semiHidden/>
    <w:rsid w:val="007E367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85E5D"/>
    <w:rPr>
      <w:rFonts w:eastAsia="Times New Roman"/>
      <w:b/>
      <w:bCs/>
      <w:color w:val="00206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2F50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685E5D"/>
    <w:rPr>
      <w:rFonts w:eastAsia="Times New Roman"/>
      <w:b/>
      <w:bCs/>
      <w:color w:val="00206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F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072F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72F5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72F50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072F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36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7633DB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3DB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28A"/>
    <w:rPr>
      <w:sz w:val="20"/>
      <w:szCs w:val="20"/>
    </w:rPr>
  </w:style>
  <w:style w:type="table" w:styleId="Zwykatabela1">
    <w:name w:val="Plain Table 1"/>
    <w:basedOn w:val="Standardowy"/>
    <w:uiPriority w:val="41"/>
    <w:rsid w:val="009754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9754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2F47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EC0233"/>
  </w:style>
  <w:style w:type="character" w:customStyle="1" w:styleId="contextualspellingandgrammarerror">
    <w:name w:val="contextualspellingandgrammarerror"/>
    <w:basedOn w:val="Domylnaczcionkaakapitu"/>
    <w:rsid w:val="00EC0233"/>
  </w:style>
  <w:style w:type="character" w:customStyle="1" w:styleId="spellingerror">
    <w:name w:val="spellingerror"/>
    <w:basedOn w:val="Domylnaczcionkaakapitu"/>
    <w:rsid w:val="00EC0233"/>
  </w:style>
  <w:style w:type="paragraph" w:styleId="Podtytu">
    <w:name w:val="Subtitle"/>
    <w:basedOn w:val="Normalny"/>
    <w:next w:val="Normalny"/>
    <w:link w:val="PodtytuZnak"/>
    <w:uiPriority w:val="11"/>
    <w:qFormat/>
    <w:rsid w:val="00CD755D"/>
    <w:pPr>
      <w:spacing w:before="100" w:beforeAutospacing="1" w:after="0" w:line="240" w:lineRule="auto"/>
      <w:jc w:val="both"/>
      <w:outlineLvl w:val="1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755D"/>
    <w:rPr>
      <w:rFonts w:asciiTheme="majorHAnsi" w:hAnsiTheme="majorHAnsi" w:cstheme="majorHAnsi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85E5D"/>
    <w:pPr>
      <w:spacing w:before="100" w:beforeAutospacing="1" w:after="120" w:line="240" w:lineRule="auto"/>
    </w:pPr>
    <w:rPr>
      <w:rFonts w:eastAsia="Times New Roman"/>
      <w:b/>
      <w:bCs/>
      <w:color w:val="00206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5E5D"/>
    <w:rPr>
      <w:rFonts w:eastAsia="Times New Roman"/>
      <w:b/>
      <w:bCs/>
      <w:color w:val="00206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E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E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E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B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B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in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.gov.pl/obszary-tematyczne/nauka-i-technika-spoleczenstwo-informacyjne/nauka-i-technika/dzialalnosc-innowacyjna-przedsiebiorstw-w-latach-2018-2020,2,20.html" TargetMode="External"/><Relationship Id="rId2" Type="http://schemas.openxmlformats.org/officeDocument/2006/relationships/hyperlink" Target="https://www.cbos.pl/SPISKOM.POL/2021/K_116_21.PDF" TargetMode="External"/><Relationship Id="rId1" Type="http://schemas.openxmlformats.org/officeDocument/2006/relationships/hyperlink" Target="https://www.gemius.pl/wszystkie-artykuly-aktualnosci/raport-e-commerce-w-polsce-2021.html" TargetMode="External"/><Relationship Id="rId4" Type="http://schemas.openxmlformats.org/officeDocument/2006/relationships/hyperlink" Target="https://piu.org.pl/wp-content/uploads/2021/06/ACC_PIU_Raport-Cyfryzacja-Ubezpieczen-w-Polsc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4F25-655D-4940-B793-3CDC4668FB3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1b594b8-b5cf-4b79-9ebb-73b161e67867}" enabled="0" method="" siteId="{01b594b8-b5cf-4b79-9ebb-73b161e6786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Sęk</dc:creator>
  <cp:keywords/>
  <dc:description/>
  <cp:lastModifiedBy>Alicja Bartniczuk</cp:lastModifiedBy>
  <cp:revision>2</cp:revision>
  <cp:lastPrinted>2020-10-12T13:59:00Z</cp:lastPrinted>
  <dcterms:created xsi:type="dcterms:W3CDTF">2022-03-07T11:53:00Z</dcterms:created>
  <dcterms:modified xsi:type="dcterms:W3CDTF">2022-03-07T11:53:00Z</dcterms:modified>
</cp:coreProperties>
</file>