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27B8" w14:textId="39F3AA25" w:rsidR="003A1E42" w:rsidRPr="008724A4" w:rsidRDefault="004F7242" w:rsidP="008724A4">
      <w:pPr>
        <w:pStyle w:val="Podtytu"/>
        <w:spacing w:before="0" w:beforeAutospacing="0" w:after="120"/>
        <w:rPr>
          <w:rFonts w:eastAsia="Times New Roman"/>
          <w:color w:val="002060"/>
          <w:sz w:val="32"/>
          <w:szCs w:val="32"/>
          <w:lang w:eastAsia="pl-PL"/>
        </w:rPr>
      </w:pPr>
      <w:r>
        <w:rPr>
          <w:rFonts w:eastAsia="Times New Roman"/>
          <w:color w:val="002060"/>
          <w:sz w:val="32"/>
          <w:szCs w:val="32"/>
          <w:lang w:eastAsia="pl-PL"/>
        </w:rPr>
        <w:t>U</w:t>
      </w:r>
      <w:r w:rsidR="003A4561" w:rsidRPr="008724A4">
        <w:rPr>
          <w:rFonts w:eastAsia="Times New Roman"/>
          <w:color w:val="002060"/>
          <w:sz w:val="32"/>
          <w:szCs w:val="32"/>
          <w:lang w:eastAsia="pl-PL"/>
        </w:rPr>
        <w:t>bezpieczenia odporne na inflacj</w:t>
      </w:r>
      <w:r w:rsidR="00C6291C">
        <w:rPr>
          <w:rFonts w:eastAsia="Times New Roman"/>
          <w:color w:val="002060"/>
          <w:sz w:val="32"/>
          <w:szCs w:val="32"/>
          <w:lang w:eastAsia="pl-PL"/>
        </w:rPr>
        <w:t>ę</w:t>
      </w:r>
      <w:r w:rsidR="009C1111">
        <w:rPr>
          <w:rFonts w:eastAsia="Times New Roman"/>
          <w:color w:val="002060"/>
          <w:sz w:val="32"/>
          <w:szCs w:val="32"/>
          <w:lang w:eastAsia="pl-PL"/>
        </w:rPr>
        <w:t>?</w:t>
      </w:r>
    </w:p>
    <w:p w14:paraId="0ACB89F5" w14:textId="05AC8E2D" w:rsidR="003A4561" w:rsidRPr="00255FC1" w:rsidRDefault="003A4561" w:rsidP="008724A4">
      <w:pPr>
        <w:pStyle w:val="Nagwek2"/>
        <w:spacing w:before="0" w:beforeAutospacing="0" w:after="120"/>
        <w:rPr>
          <w:sz w:val="22"/>
          <w:szCs w:val="22"/>
        </w:rPr>
      </w:pPr>
      <w:r w:rsidRPr="00255FC1">
        <w:rPr>
          <w:sz w:val="22"/>
          <w:szCs w:val="22"/>
        </w:rPr>
        <w:t>Jak podaje GUS</w:t>
      </w:r>
      <w:r w:rsidR="004F7242" w:rsidRPr="00255FC1">
        <w:rPr>
          <w:sz w:val="22"/>
          <w:szCs w:val="22"/>
        </w:rPr>
        <w:t>,</w:t>
      </w:r>
      <w:r w:rsidRPr="00255FC1">
        <w:rPr>
          <w:sz w:val="22"/>
          <w:szCs w:val="22"/>
        </w:rPr>
        <w:t xml:space="preserve"> inflacja w styczniu wyniosła 9,2</w:t>
      </w:r>
      <w:r w:rsidR="00B9266C" w:rsidRPr="00255FC1">
        <w:rPr>
          <w:sz w:val="22"/>
          <w:szCs w:val="22"/>
        </w:rPr>
        <w:t> </w:t>
      </w:r>
      <w:r w:rsidRPr="00255FC1">
        <w:rPr>
          <w:sz w:val="22"/>
          <w:szCs w:val="22"/>
        </w:rPr>
        <w:t>proc.</w:t>
      </w:r>
      <w:r w:rsidR="009E5EDC" w:rsidRPr="00255FC1">
        <w:rPr>
          <w:sz w:val="22"/>
          <w:szCs w:val="22"/>
        </w:rPr>
        <w:t>,</w:t>
      </w:r>
      <w:r w:rsidRPr="00255FC1">
        <w:rPr>
          <w:sz w:val="22"/>
          <w:szCs w:val="22"/>
        </w:rPr>
        <w:t xml:space="preserve"> co jest wynikiem poniżej szacunków analityków, którzy spodziewali się liczby dwucyfrowej. Obecnie mamy do czynienia z najwyższym wzrostem cen od 22 lat</w:t>
      </w:r>
      <w:r w:rsidR="00F02759" w:rsidRPr="00255FC1">
        <w:rPr>
          <w:rStyle w:val="Odwoanieprzypisudolnego"/>
          <w:sz w:val="22"/>
          <w:szCs w:val="22"/>
        </w:rPr>
        <w:footnoteReference w:id="1"/>
      </w:r>
      <w:r w:rsidRPr="00255FC1">
        <w:rPr>
          <w:sz w:val="22"/>
          <w:szCs w:val="22"/>
        </w:rPr>
        <w:t xml:space="preserve"> – ceny żywności w</w:t>
      </w:r>
      <w:r w:rsidR="00B9266C" w:rsidRPr="00255FC1">
        <w:rPr>
          <w:sz w:val="22"/>
          <w:szCs w:val="22"/>
        </w:rPr>
        <w:t> </w:t>
      </w:r>
      <w:r w:rsidRPr="00255FC1">
        <w:rPr>
          <w:sz w:val="22"/>
          <w:szCs w:val="22"/>
        </w:rPr>
        <w:t>2021 wrosły o 5,1</w:t>
      </w:r>
      <w:r w:rsidR="00B9266C" w:rsidRPr="00255FC1">
        <w:rPr>
          <w:sz w:val="22"/>
          <w:szCs w:val="22"/>
        </w:rPr>
        <w:t> </w:t>
      </w:r>
      <w:r w:rsidRPr="00255FC1">
        <w:rPr>
          <w:sz w:val="22"/>
          <w:szCs w:val="22"/>
        </w:rPr>
        <w:t>proc. rok do roku, z kolei za prąd w 2022 roku przeciętne gospodarstwo zapłaci o 24</w:t>
      </w:r>
      <w:r w:rsidR="00B9266C" w:rsidRPr="00255FC1">
        <w:rPr>
          <w:sz w:val="22"/>
          <w:szCs w:val="22"/>
        </w:rPr>
        <w:t> </w:t>
      </w:r>
      <w:r w:rsidRPr="00255FC1">
        <w:rPr>
          <w:sz w:val="22"/>
          <w:szCs w:val="22"/>
        </w:rPr>
        <w:t>proc.</w:t>
      </w:r>
      <w:r w:rsidR="00F02759" w:rsidRPr="00255FC1">
        <w:rPr>
          <w:rStyle w:val="Odwoanieprzypisudolnego"/>
          <w:sz w:val="22"/>
          <w:szCs w:val="22"/>
        </w:rPr>
        <w:footnoteReference w:id="2"/>
      </w:r>
      <w:r w:rsidRPr="00255FC1">
        <w:rPr>
          <w:sz w:val="22"/>
          <w:szCs w:val="22"/>
        </w:rPr>
        <w:t xml:space="preserve"> więcej niż w</w:t>
      </w:r>
      <w:r w:rsidR="00B9266C" w:rsidRPr="00255FC1">
        <w:rPr>
          <w:sz w:val="22"/>
          <w:szCs w:val="22"/>
        </w:rPr>
        <w:t> </w:t>
      </w:r>
      <w:r w:rsidRPr="00255FC1">
        <w:rPr>
          <w:sz w:val="22"/>
          <w:szCs w:val="22"/>
        </w:rPr>
        <w:t xml:space="preserve">2021. </w:t>
      </w:r>
      <w:r w:rsidR="003E4880" w:rsidRPr="00255FC1">
        <w:rPr>
          <w:sz w:val="22"/>
          <w:szCs w:val="22"/>
        </w:rPr>
        <w:t>Nieco</w:t>
      </w:r>
      <w:r w:rsidR="009E5EDC" w:rsidRPr="00255FC1">
        <w:rPr>
          <w:sz w:val="22"/>
          <w:szCs w:val="22"/>
        </w:rPr>
        <w:t xml:space="preserve"> inaczej wygląda sytuacja w </w:t>
      </w:r>
      <w:r w:rsidRPr="00255FC1">
        <w:rPr>
          <w:sz w:val="22"/>
          <w:szCs w:val="22"/>
        </w:rPr>
        <w:t>sektorze ubezpieczeń. Pomimo rosnącej inflacji</w:t>
      </w:r>
      <w:r w:rsidR="00EB143E" w:rsidRPr="00255FC1">
        <w:rPr>
          <w:sz w:val="22"/>
          <w:szCs w:val="22"/>
        </w:rPr>
        <w:t>,</w:t>
      </w:r>
      <w:r w:rsidRPr="00255FC1">
        <w:rPr>
          <w:sz w:val="22"/>
          <w:szCs w:val="22"/>
        </w:rPr>
        <w:t xml:space="preserve"> </w:t>
      </w:r>
      <w:r w:rsidR="00C474CB" w:rsidRPr="00255FC1">
        <w:rPr>
          <w:sz w:val="22"/>
          <w:szCs w:val="22"/>
        </w:rPr>
        <w:t xml:space="preserve">średnie </w:t>
      </w:r>
      <w:r w:rsidRPr="00255FC1">
        <w:rPr>
          <w:sz w:val="22"/>
          <w:szCs w:val="22"/>
        </w:rPr>
        <w:t>cen</w:t>
      </w:r>
      <w:r w:rsidR="00C474CB" w:rsidRPr="00255FC1">
        <w:rPr>
          <w:sz w:val="22"/>
          <w:szCs w:val="22"/>
        </w:rPr>
        <w:t>y za polisy</w:t>
      </w:r>
      <w:r w:rsidRPr="00255FC1">
        <w:rPr>
          <w:sz w:val="22"/>
          <w:szCs w:val="22"/>
        </w:rPr>
        <w:t xml:space="preserve"> komunikacyjn</w:t>
      </w:r>
      <w:r w:rsidR="00C474CB" w:rsidRPr="00255FC1">
        <w:rPr>
          <w:sz w:val="22"/>
          <w:szCs w:val="22"/>
        </w:rPr>
        <w:t>e w pewnych liniach produktowych odnotowują spadki</w:t>
      </w:r>
      <w:r w:rsidR="00EB143E" w:rsidRPr="00255FC1">
        <w:rPr>
          <w:sz w:val="22"/>
          <w:szCs w:val="22"/>
        </w:rPr>
        <w:t xml:space="preserve"> </w:t>
      </w:r>
      <w:r w:rsidRPr="00255FC1">
        <w:rPr>
          <w:sz w:val="22"/>
          <w:szCs w:val="22"/>
        </w:rPr>
        <w:t xml:space="preserve">w </w:t>
      </w:r>
      <w:r w:rsidR="00C474CB" w:rsidRPr="00255FC1">
        <w:rPr>
          <w:sz w:val="22"/>
          <w:szCs w:val="22"/>
        </w:rPr>
        <w:t>ujęciu ogólnokrajowym. Ciekawie wnioski daje także analiza danych dotyczących ubezpieczeń majątkowych.</w:t>
      </w:r>
    </w:p>
    <w:p w14:paraId="295E7B0E" w14:textId="1E43113B" w:rsidR="005953CE" w:rsidRPr="008724A4" w:rsidRDefault="00C474CB" w:rsidP="008724A4">
      <w:pPr>
        <w:pStyle w:val="Nagwek2"/>
        <w:spacing w:before="0" w:beforeAutospacing="0" w:after="0"/>
      </w:pPr>
      <w:r w:rsidRPr="008724A4">
        <w:t>Obowiązkowe ubezpieczenie OC tanieje</w:t>
      </w:r>
    </w:p>
    <w:p w14:paraId="550178E0" w14:textId="2F70B2B9" w:rsidR="00134FB2" w:rsidRPr="008724A4" w:rsidRDefault="00134FB2" w:rsidP="008724A4">
      <w:pPr>
        <w:jc w:val="both"/>
        <w:rPr>
          <w:rFonts w:asciiTheme="majorHAnsi" w:hAnsiTheme="majorHAnsi" w:cstheme="majorHAnsi"/>
        </w:rPr>
      </w:pPr>
      <w:r w:rsidRPr="008724A4">
        <w:rPr>
          <w:rFonts w:asciiTheme="majorHAnsi" w:hAnsiTheme="majorHAnsi" w:cstheme="majorHAnsi"/>
        </w:rPr>
        <w:t>Jak wynika z danych Instytutu Badań Rynku Motoryzacyjnego Samar</w:t>
      </w:r>
      <w:r w:rsidR="00C52062">
        <w:rPr>
          <w:rStyle w:val="Odwoanieprzypisudolnego"/>
          <w:rFonts w:asciiTheme="majorHAnsi" w:hAnsiTheme="majorHAnsi" w:cstheme="majorHAnsi"/>
        </w:rPr>
        <w:footnoteReference w:id="3"/>
      </w:r>
      <w:r w:rsidRPr="008724A4">
        <w:rPr>
          <w:rFonts w:asciiTheme="majorHAnsi" w:hAnsiTheme="majorHAnsi" w:cstheme="majorHAnsi"/>
        </w:rPr>
        <w:t xml:space="preserve">, w styczniu 2022 Polacy zapłacili za nowe auto średnio o 14 proc. więcej, niż przed rokiem. Z kolei wartość sprowadzanego z zagranicy, używanego auta wzrosła w tym czasie o 4 proc. Co ciekawe, </w:t>
      </w:r>
      <w:r w:rsidR="009E5EDC">
        <w:rPr>
          <w:rFonts w:asciiTheme="majorHAnsi" w:hAnsiTheme="majorHAnsi" w:cstheme="majorHAnsi"/>
        </w:rPr>
        <w:t>jak wynika z danych</w:t>
      </w:r>
      <w:r w:rsidR="009E5EDC" w:rsidRPr="008724A4">
        <w:rPr>
          <w:rFonts w:asciiTheme="majorHAnsi" w:hAnsiTheme="majorHAnsi" w:cstheme="majorHAnsi"/>
        </w:rPr>
        <w:t xml:space="preserve"> </w:t>
      </w:r>
      <w:r w:rsidR="003A4561" w:rsidRPr="008724A4">
        <w:rPr>
          <w:rFonts w:asciiTheme="majorHAnsi" w:hAnsiTheme="majorHAnsi" w:cstheme="majorHAnsi"/>
        </w:rPr>
        <w:t xml:space="preserve">Unilink, rosnąca inflacja </w:t>
      </w:r>
      <w:r w:rsidRPr="008724A4">
        <w:rPr>
          <w:rFonts w:asciiTheme="majorHAnsi" w:hAnsiTheme="majorHAnsi" w:cstheme="majorHAnsi"/>
        </w:rPr>
        <w:t xml:space="preserve">oraz ceny pojazdów </w:t>
      </w:r>
      <w:r w:rsidR="003A4561" w:rsidRPr="008724A4">
        <w:rPr>
          <w:rFonts w:asciiTheme="majorHAnsi" w:hAnsiTheme="majorHAnsi" w:cstheme="majorHAnsi"/>
        </w:rPr>
        <w:t>nie wpływa</w:t>
      </w:r>
      <w:r w:rsidRPr="008724A4">
        <w:rPr>
          <w:rFonts w:asciiTheme="majorHAnsi" w:hAnsiTheme="majorHAnsi" w:cstheme="majorHAnsi"/>
        </w:rPr>
        <w:t>ją</w:t>
      </w:r>
      <w:r w:rsidR="003A4561" w:rsidRPr="008724A4">
        <w:rPr>
          <w:rFonts w:asciiTheme="majorHAnsi" w:hAnsiTheme="majorHAnsi" w:cstheme="majorHAnsi"/>
        </w:rPr>
        <w:t xml:space="preserve"> </w:t>
      </w:r>
      <w:r w:rsidR="00EB143E" w:rsidRPr="008724A4">
        <w:rPr>
          <w:rFonts w:asciiTheme="majorHAnsi" w:hAnsiTheme="majorHAnsi" w:cstheme="majorHAnsi"/>
        </w:rPr>
        <w:t xml:space="preserve">znacząco </w:t>
      </w:r>
      <w:r w:rsidR="003A4561" w:rsidRPr="008724A4">
        <w:rPr>
          <w:rFonts w:asciiTheme="majorHAnsi" w:hAnsiTheme="majorHAnsi" w:cstheme="majorHAnsi"/>
        </w:rPr>
        <w:t>na</w:t>
      </w:r>
      <w:r w:rsidRPr="008724A4">
        <w:rPr>
          <w:rFonts w:asciiTheme="majorHAnsi" w:hAnsiTheme="majorHAnsi" w:cstheme="majorHAnsi"/>
        </w:rPr>
        <w:t> </w:t>
      </w:r>
      <w:r w:rsidR="003A4561" w:rsidRPr="008724A4">
        <w:rPr>
          <w:rFonts w:asciiTheme="majorHAnsi" w:hAnsiTheme="majorHAnsi" w:cstheme="majorHAnsi"/>
        </w:rPr>
        <w:t>ceny ubezpieczeń komunikacyjnych</w:t>
      </w:r>
      <w:r w:rsidR="00B203BE">
        <w:rPr>
          <w:rFonts w:asciiTheme="majorHAnsi" w:hAnsiTheme="majorHAnsi" w:cstheme="majorHAnsi"/>
        </w:rPr>
        <w:t>, przede wszystkim w zakresie ubezpieczenia OC</w:t>
      </w:r>
      <w:r w:rsidR="003A4561" w:rsidRPr="008724A4">
        <w:rPr>
          <w:rFonts w:asciiTheme="majorHAnsi" w:hAnsiTheme="majorHAnsi" w:cstheme="majorHAnsi"/>
        </w:rPr>
        <w:t xml:space="preserve">. </w:t>
      </w:r>
    </w:p>
    <w:p w14:paraId="530658AD" w14:textId="47A81CA9" w:rsidR="00EB143E" w:rsidRDefault="003A4561" w:rsidP="008724A4">
      <w:pPr>
        <w:jc w:val="both"/>
        <w:rPr>
          <w:rFonts w:asciiTheme="majorHAnsi" w:hAnsiTheme="majorHAnsi" w:cstheme="majorHAnsi"/>
        </w:rPr>
      </w:pPr>
      <w:r w:rsidRPr="008724A4">
        <w:rPr>
          <w:rFonts w:asciiTheme="majorHAnsi" w:hAnsiTheme="majorHAnsi" w:cstheme="majorHAnsi"/>
        </w:rPr>
        <w:t>Jak wynika z</w:t>
      </w:r>
      <w:r w:rsidR="00EB143E" w:rsidRPr="008724A4">
        <w:rPr>
          <w:rFonts w:asciiTheme="majorHAnsi" w:hAnsiTheme="majorHAnsi" w:cstheme="majorHAnsi"/>
        </w:rPr>
        <w:t> </w:t>
      </w:r>
      <w:r w:rsidRPr="008724A4">
        <w:rPr>
          <w:rFonts w:asciiTheme="majorHAnsi" w:hAnsiTheme="majorHAnsi" w:cstheme="majorHAnsi"/>
        </w:rPr>
        <w:t xml:space="preserve">analizy </w:t>
      </w:r>
      <w:r w:rsidR="00EB143E" w:rsidRPr="008724A4">
        <w:rPr>
          <w:rFonts w:asciiTheme="majorHAnsi" w:hAnsiTheme="majorHAnsi" w:cstheme="majorHAnsi"/>
        </w:rPr>
        <w:t xml:space="preserve">średnich wartości polis </w:t>
      </w:r>
      <w:r w:rsidR="00C474CB" w:rsidRPr="008724A4">
        <w:rPr>
          <w:rFonts w:asciiTheme="majorHAnsi" w:hAnsiTheme="majorHAnsi" w:cstheme="majorHAnsi"/>
        </w:rPr>
        <w:t xml:space="preserve">zawieranych za pośrednictwem </w:t>
      </w:r>
      <w:r w:rsidR="00721CAD">
        <w:rPr>
          <w:rFonts w:asciiTheme="majorHAnsi" w:hAnsiTheme="majorHAnsi" w:cstheme="majorHAnsi"/>
        </w:rPr>
        <w:t xml:space="preserve">największego polskiego </w:t>
      </w:r>
      <w:r w:rsidR="00C474CB" w:rsidRPr="008724A4">
        <w:rPr>
          <w:rFonts w:asciiTheme="majorHAnsi" w:hAnsiTheme="majorHAnsi" w:cstheme="majorHAnsi"/>
        </w:rPr>
        <w:t xml:space="preserve">dystrybutora, </w:t>
      </w:r>
      <w:r w:rsidR="00EB143E" w:rsidRPr="008724A4">
        <w:rPr>
          <w:rFonts w:asciiTheme="majorHAnsi" w:hAnsiTheme="majorHAnsi" w:cstheme="majorHAnsi"/>
        </w:rPr>
        <w:t>w</w:t>
      </w:r>
      <w:r w:rsidR="00721CAD">
        <w:rPr>
          <w:rFonts w:asciiTheme="majorHAnsi" w:hAnsiTheme="majorHAnsi" w:cstheme="majorHAnsi"/>
        </w:rPr>
        <w:t> </w:t>
      </w:r>
      <w:r w:rsidR="00EB143E" w:rsidRPr="008724A4">
        <w:rPr>
          <w:rFonts w:asciiTheme="majorHAnsi" w:hAnsiTheme="majorHAnsi" w:cstheme="majorHAnsi"/>
        </w:rPr>
        <w:t xml:space="preserve">styczniu 2022 </w:t>
      </w:r>
      <w:r w:rsidR="00C474CB" w:rsidRPr="008724A4">
        <w:rPr>
          <w:rFonts w:asciiTheme="majorHAnsi" w:hAnsiTheme="majorHAnsi" w:cstheme="majorHAnsi"/>
        </w:rPr>
        <w:t>za OC zapłaciliśmy średnio o</w:t>
      </w:r>
      <w:r w:rsidR="00017DE5" w:rsidRPr="008724A4">
        <w:rPr>
          <w:rFonts w:asciiTheme="majorHAnsi" w:hAnsiTheme="majorHAnsi" w:cstheme="majorHAnsi"/>
        </w:rPr>
        <w:t> </w:t>
      </w:r>
      <w:r w:rsidR="00C474CB" w:rsidRPr="008724A4">
        <w:rPr>
          <w:rFonts w:asciiTheme="majorHAnsi" w:hAnsiTheme="majorHAnsi" w:cstheme="majorHAnsi"/>
        </w:rPr>
        <w:t>6</w:t>
      </w:r>
      <w:r w:rsidR="00017DE5" w:rsidRPr="008724A4">
        <w:rPr>
          <w:rFonts w:asciiTheme="majorHAnsi" w:hAnsiTheme="majorHAnsi" w:cstheme="majorHAnsi"/>
        </w:rPr>
        <w:t> proc.</w:t>
      </w:r>
      <w:r w:rsidR="00C474CB" w:rsidRPr="008724A4">
        <w:rPr>
          <w:rFonts w:asciiTheme="majorHAnsi" w:hAnsiTheme="majorHAnsi" w:cstheme="majorHAnsi"/>
        </w:rPr>
        <w:t xml:space="preserve"> mniej, niż przed rokiem. Co ciekawe, da się tu zauważyć dość znaczne różnice pomiędzy poszczególnym województwami</w:t>
      </w:r>
      <w:r w:rsidR="00017DE5" w:rsidRPr="008724A4">
        <w:rPr>
          <w:rFonts w:asciiTheme="majorHAnsi" w:hAnsiTheme="majorHAnsi" w:cstheme="majorHAnsi"/>
        </w:rPr>
        <w:t>. Obowiązkowe ubezpieczenia najwyraźniej potaniały w</w:t>
      </w:r>
      <w:r w:rsidR="00721CAD">
        <w:rPr>
          <w:rFonts w:asciiTheme="majorHAnsi" w:hAnsiTheme="majorHAnsi" w:cstheme="majorHAnsi"/>
        </w:rPr>
        <w:t> </w:t>
      </w:r>
      <w:r w:rsidR="00017DE5" w:rsidRPr="008724A4">
        <w:rPr>
          <w:rFonts w:asciiTheme="majorHAnsi" w:hAnsiTheme="majorHAnsi" w:cstheme="majorHAnsi"/>
        </w:rPr>
        <w:t>województwach podlaskim (</w:t>
      </w:r>
      <w:r w:rsidR="008724A4" w:rsidRPr="008724A4">
        <w:rPr>
          <w:rFonts w:asciiTheme="majorHAnsi" w:hAnsiTheme="majorHAnsi" w:cstheme="majorHAnsi"/>
        </w:rPr>
        <w:noBreakHyphen/>
      </w:r>
      <w:r w:rsidR="00017DE5" w:rsidRPr="008724A4">
        <w:rPr>
          <w:rFonts w:asciiTheme="majorHAnsi" w:hAnsiTheme="majorHAnsi" w:cstheme="majorHAnsi"/>
        </w:rPr>
        <w:t>1</w:t>
      </w:r>
      <w:r w:rsidR="00721CAD">
        <w:rPr>
          <w:rFonts w:asciiTheme="majorHAnsi" w:hAnsiTheme="majorHAnsi" w:cstheme="majorHAnsi"/>
        </w:rPr>
        <w:t>5</w:t>
      </w:r>
      <w:r w:rsidR="00017DE5" w:rsidRPr="008724A4">
        <w:rPr>
          <w:rFonts w:asciiTheme="majorHAnsi" w:hAnsiTheme="majorHAnsi" w:cstheme="majorHAnsi"/>
        </w:rPr>
        <w:t>,</w:t>
      </w:r>
      <w:r w:rsidR="00721CAD">
        <w:rPr>
          <w:rFonts w:asciiTheme="majorHAnsi" w:hAnsiTheme="majorHAnsi" w:cstheme="majorHAnsi"/>
        </w:rPr>
        <w:t>4</w:t>
      </w:r>
      <w:r w:rsidR="00017DE5" w:rsidRPr="008724A4">
        <w:rPr>
          <w:rFonts w:asciiTheme="majorHAnsi" w:hAnsiTheme="majorHAnsi" w:cstheme="majorHAnsi"/>
        </w:rPr>
        <w:t> proc.) oraz świętokrzyskim (</w:t>
      </w:r>
      <w:r w:rsidR="008724A4" w:rsidRPr="008724A4">
        <w:rPr>
          <w:rFonts w:asciiTheme="majorHAnsi" w:hAnsiTheme="majorHAnsi" w:cstheme="majorHAnsi"/>
        </w:rPr>
        <w:noBreakHyphen/>
      </w:r>
      <w:r w:rsidR="00017DE5" w:rsidRPr="008724A4">
        <w:rPr>
          <w:rFonts w:asciiTheme="majorHAnsi" w:hAnsiTheme="majorHAnsi" w:cstheme="majorHAnsi"/>
        </w:rPr>
        <w:t>13</w:t>
      </w:r>
      <w:r w:rsidR="00721CAD">
        <w:rPr>
          <w:rFonts w:asciiTheme="majorHAnsi" w:hAnsiTheme="majorHAnsi" w:cstheme="majorHAnsi"/>
        </w:rPr>
        <w:t>,2</w:t>
      </w:r>
      <w:r w:rsidR="00017DE5" w:rsidRPr="008724A4">
        <w:rPr>
          <w:rFonts w:asciiTheme="majorHAnsi" w:hAnsiTheme="majorHAnsi" w:cstheme="majorHAnsi"/>
        </w:rPr>
        <w:t xml:space="preserve"> proc.). Jedynie mieszkańcy </w:t>
      </w:r>
      <w:r w:rsidR="00EB0126">
        <w:rPr>
          <w:rFonts w:asciiTheme="majorHAnsi" w:hAnsiTheme="majorHAnsi" w:cstheme="majorHAnsi"/>
        </w:rPr>
        <w:t>P</w:t>
      </w:r>
      <w:r w:rsidR="002D4392">
        <w:rPr>
          <w:rFonts w:asciiTheme="majorHAnsi" w:hAnsiTheme="majorHAnsi" w:cstheme="majorHAnsi"/>
        </w:rPr>
        <w:t>o</w:t>
      </w:r>
      <w:r w:rsidR="00017DE5" w:rsidRPr="008724A4">
        <w:rPr>
          <w:rFonts w:asciiTheme="majorHAnsi" w:hAnsiTheme="majorHAnsi" w:cstheme="majorHAnsi"/>
        </w:rPr>
        <w:t xml:space="preserve">dkarpacia musieli zapłacić </w:t>
      </w:r>
      <w:r w:rsidR="008724A4" w:rsidRPr="008724A4">
        <w:rPr>
          <w:rFonts w:asciiTheme="majorHAnsi" w:hAnsiTheme="majorHAnsi" w:cstheme="majorHAnsi"/>
        </w:rPr>
        <w:t>o 4,</w:t>
      </w:r>
      <w:r w:rsidR="00721CAD">
        <w:rPr>
          <w:rFonts w:asciiTheme="majorHAnsi" w:hAnsiTheme="majorHAnsi" w:cstheme="majorHAnsi"/>
        </w:rPr>
        <w:t>1</w:t>
      </w:r>
      <w:r w:rsidR="008724A4" w:rsidRPr="008724A4">
        <w:rPr>
          <w:rFonts w:asciiTheme="majorHAnsi" w:hAnsiTheme="majorHAnsi" w:cstheme="majorHAnsi"/>
        </w:rPr>
        <w:t xml:space="preserve"> proc. </w:t>
      </w:r>
      <w:r w:rsidR="00017DE5" w:rsidRPr="008724A4">
        <w:rPr>
          <w:rFonts w:asciiTheme="majorHAnsi" w:hAnsiTheme="majorHAnsi" w:cstheme="majorHAnsi"/>
        </w:rPr>
        <w:t>więcej, niż w</w:t>
      </w:r>
      <w:r w:rsidR="008724A4">
        <w:rPr>
          <w:rFonts w:asciiTheme="majorHAnsi" w:hAnsiTheme="majorHAnsi" w:cstheme="majorHAnsi"/>
        </w:rPr>
        <w:t> </w:t>
      </w:r>
      <w:r w:rsidR="00017DE5" w:rsidRPr="008724A4">
        <w:rPr>
          <w:rFonts w:asciiTheme="majorHAnsi" w:hAnsiTheme="majorHAnsi" w:cstheme="majorHAnsi"/>
        </w:rPr>
        <w:t xml:space="preserve">2021 roku, jednak należy zauważyć, że wciąż bezwzględna wartość składki </w:t>
      </w:r>
      <w:r w:rsidR="00721CAD">
        <w:rPr>
          <w:rFonts w:asciiTheme="majorHAnsi" w:hAnsiTheme="majorHAnsi" w:cstheme="majorHAnsi"/>
        </w:rPr>
        <w:t xml:space="preserve">była </w:t>
      </w:r>
      <w:r w:rsidR="00017DE5" w:rsidRPr="008724A4">
        <w:rPr>
          <w:rFonts w:asciiTheme="majorHAnsi" w:hAnsiTheme="majorHAnsi" w:cstheme="majorHAnsi"/>
        </w:rPr>
        <w:t>tu jedną z najniższych</w:t>
      </w:r>
      <w:r w:rsidR="008724A4" w:rsidRPr="008724A4">
        <w:rPr>
          <w:rFonts w:asciiTheme="majorHAnsi" w:hAnsiTheme="majorHAnsi" w:cstheme="majorHAnsi"/>
        </w:rPr>
        <w:t xml:space="preserve"> w kraju</w:t>
      </w:r>
      <w:r w:rsidR="00017DE5" w:rsidRPr="008724A4">
        <w:rPr>
          <w:rFonts w:asciiTheme="majorHAnsi" w:hAnsiTheme="majorHAnsi" w:cstheme="majorHAnsi"/>
        </w:rPr>
        <w:t xml:space="preserve">. </w:t>
      </w:r>
      <w:r w:rsidR="00F8189F" w:rsidRPr="008724A4">
        <w:rPr>
          <w:rFonts w:asciiTheme="majorHAnsi" w:hAnsiTheme="majorHAnsi" w:cstheme="majorHAnsi"/>
        </w:rPr>
        <w:t>W</w:t>
      </w:r>
      <w:r w:rsidR="008724A4" w:rsidRPr="008724A4">
        <w:rPr>
          <w:rFonts w:asciiTheme="majorHAnsi" w:hAnsiTheme="majorHAnsi" w:cstheme="majorHAnsi"/>
        </w:rPr>
        <w:t> </w:t>
      </w:r>
      <w:r w:rsidR="00F8189F" w:rsidRPr="008724A4">
        <w:rPr>
          <w:rFonts w:asciiTheme="majorHAnsi" w:hAnsiTheme="majorHAnsi" w:cstheme="majorHAnsi"/>
        </w:rPr>
        <w:t xml:space="preserve">styczniu 2022 r. </w:t>
      </w:r>
      <w:r w:rsidR="00721CAD" w:rsidRPr="008724A4">
        <w:rPr>
          <w:rFonts w:asciiTheme="majorHAnsi" w:hAnsiTheme="majorHAnsi" w:cstheme="majorHAnsi"/>
        </w:rPr>
        <w:t xml:space="preserve">na OC </w:t>
      </w:r>
      <w:r w:rsidR="00F8189F" w:rsidRPr="008724A4">
        <w:rPr>
          <w:rFonts w:asciiTheme="majorHAnsi" w:hAnsiTheme="majorHAnsi" w:cstheme="majorHAnsi"/>
        </w:rPr>
        <w:t>ś</w:t>
      </w:r>
      <w:r w:rsidR="00017DE5" w:rsidRPr="008724A4">
        <w:rPr>
          <w:rFonts w:asciiTheme="majorHAnsi" w:hAnsiTheme="majorHAnsi" w:cstheme="majorHAnsi"/>
        </w:rPr>
        <w:t>rednio najwięcej</w:t>
      </w:r>
      <w:r w:rsidR="00721CAD">
        <w:rPr>
          <w:rFonts w:asciiTheme="majorHAnsi" w:hAnsiTheme="majorHAnsi" w:cstheme="majorHAnsi"/>
        </w:rPr>
        <w:t xml:space="preserve">, choć i tak o </w:t>
      </w:r>
      <w:r w:rsidR="00721CAD" w:rsidRPr="008724A4">
        <w:rPr>
          <w:rFonts w:asciiTheme="majorHAnsi" w:hAnsiTheme="majorHAnsi" w:cstheme="majorHAnsi"/>
        </w:rPr>
        <w:t>2,</w:t>
      </w:r>
      <w:r w:rsidR="00721CAD">
        <w:rPr>
          <w:rFonts w:asciiTheme="majorHAnsi" w:hAnsiTheme="majorHAnsi" w:cstheme="majorHAnsi"/>
        </w:rPr>
        <w:t>4</w:t>
      </w:r>
      <w:r w:rsidR="00721CAD" w:rsidRPr="008724A4">
        <w:rPr>
          <w:rFonts w:asciiTheme="majorHAnsi" w:hAnsiTheme="majorHAnsi" w:cstheme="majorHAnsi"/>
        </w:rPr>
        <w:t xml:space="preserve">  proc. mniej, niż przed rokiem</w:t>
      </w:r>
      <w:r w:rsidR="00721CAD">
        <w:rPr>
          <w:rFonts w:asciiTheme="majorHAnsi" w:hAnsiTheme="majorHAnsi" w:cstheme="majorHAnsi"/>
        </w:rPr>
        <w:t xml:space="preserve">, </w:t>
      </w:r>
      <w:r w:rsidR="00017DE5" w:rsidRPr="008724A4">
        <w:rPr>
          <w:rFonts w:asciiTheme="majorHAnsi" w:hAnsiTheme="majorHAnsi" w:cstheme="majorHAnsi"/>
        </w:rPr>
        <w:t>wyda</w:t>
      </w:r>
      <w:r w:rsidR="008724A4" w:rsidRPr="008724A4">
        <w:rPr>
          <w:rFonts w:asciiTheme="majorHAnsi" w:hAnsiTheme="majorHAnsi" w:cstheme="majorHAnsi"/>
        </w:rPr>
        <w:t>li</w:t>
      </w:r>
      <w:r w:rsidR="00017DE5" w:rsidRPr="008724A4">
        <w:rPr>
          <w:rFonts w:asciiTheme="majorHAnsi" w:hAnsiTheme="majorHAnsi" w:cstheme="majorHAnsi"/>
        </w:rPr>
        <w:t xml:space="preserve"> Dolnoślązacy</w:t>
      </w:r>
      <w:r w:rsidR="00721CAD">
        <w:rPr>
          <w:rFonts w:asciiTheme="majorHAnsi" w:hAnsiTheme="majorHAnsi" w:cstheme="majorHAnsi"/>
        </w:rPr>
        <w:t xml:space="preserve">. Trochę </w:t>
      </w:r>
      <w:r w:rsidR="00F8189F" w:rsidRPr="008724A4">
        <w:rPr>
          <w:rFonts w:asciiTheme="majorHAnsi" w:hAnsiTheme="majorHAnsi" w:cstheme="majorHAnsi"/>
        </w:rPr>
        <w:t xml:space="preserve">powodów do radości mają klienci z zeszłorocznego lidera </w:t>
      </w:r>
      <w:r w:rsidR="008724A4" w:rsidRPr="008724A4">
        <w:rPr>
          <w:rFonts w:asciiTheme="majorHAnsi" w:hAnsiTheme="majorHAnsi" w:cstheme="majorHAnsi"/>
        </w:rPr>
        <w:t xml:space="preserve">– </w:t>
      </w:r>
      <w:r w:rsidR="00451F34">
        <w:rPr>
          <w:rFonts w:asciiTheme="majorHAnsi" w:hAnsiTheme="majorHAnsi" w:cstheme="majorHAnsi"/>
        </w:rPr>
        <w:t>z</w:t>
      </w:r>
      <w:r w:rsidR="00F8189F" w:rsidRPr="008724A4">
        <w:rPr>
          <w:rFonts w:asciiTheme="majorHAnsi" w:hAnsiTheme="majorHAnsi" w:cstheme="majorHAnsi"/>
        </w:rPr>
        <w:t>achodniopomorskiego – gdzie w</w:t>
      </w:r>
      <w:r w:rsidR="00721CAD">
        <w:rPr>
          <w:rFonts w:asciiTheme="majorHAnsi" w:hAnsiTheme="majorHAnsi" w:cstheme="majorHAnsi"/>
        </w:rPr>
        <w:t> </w:t>
      </w:r>
      <w:r w:rsidR="00F8189F" w:rsidRPr="008724A4">
        <w:rPr>
          <w:rFonts w:asciiTheme="majorHAnsi" w:hAnsiTheme="majorHAnsi" w:cstheme="majorHAnsi"/>
        </w:rPr>
        <w:t xml:space="preserve">styczniu tego roku </w:t>
      </w:r>
      <w:r w:rsidR="00721CAD">
        <w:rPr>
          <w:rFonts w:asciiTheme="majorHAnsi" w:hAnsiTheme="majorHAnsi" w:cstheme="majorHAnsi"/>
        </w:rPr>
        <w:t>właściciele pojazdów za</w:t>
      </w:r>
      <w:r w:rsidR="00F8189F" w:rsidRPr="008724A4">
        <w:rPr>
          <w:rFonts w:asciiTheme="majorHAnsi" w:hAnsiTheme="majorHAnsi" w:cstheme="majorHAnsi"/>
        </w:rPr>
        <w:t>płaci</w:t>
      </w:r>
      <w:r w:rsidR="00721CAD">
        <w:rPr>
          <w:rFonts w:asciiTheme="majorHAnsi" w:hAnsiTheme="majorHAnsi" w:cstheme="majorHAnsi"/>
        </w:rPr>
        <w:t>li</w:t>
      </w:r>
      <w:r w:rsidR="00F8189F" w:rsidRPr="008724A4">
        <w:rPr>
          <w:rFonts w:asciiTheme="majorHAnsi" w:hAnsiTheme="majorHAnsi" w:cstheme="majorHAnsi"/>
        </w:rPr>
        <w:t xml:space="preserve"> o </w:t>
      </w:r>
      <w:r w:rsidR="00721CAD">
        <w:rPr>
          <w:rFonts w:asciiTheme="majorHAnsi" w:hAnsiTheme="majorHAnsi" w:cstheme="majorHAnsi"/>
        </w:rPr>
        <w:t>8.9</w:t>
      </w:r>
      <w:r w:rsidR="00F8189F" w:rsidRPr="008724A4">
        <w:rPr>
          <w:rFonts w:asciiTheme="majorHAnsi" w:hAnsiTheme="majorHAnsi" w:cstheme="majorHAnsi"/>
        </w:rPr>
        <w:t> proc. mniej, niż rok wcześniej.</w:t>
      </w:r>
    </w:p>
    <w:p w14:paraId="5DDA6BC9" w14:textId="77777777" w:rsidR="00B16CE1" w:rsidRDefault="00B16CE1" w:rsidP="00EB0126">
      <w:pPr>
        <w:keepNext/>
        <w:jc w:val="both"/>
      </w:pPr>
      <w:r>
        <w:rPr>
          <w:rFonts w:asciiTheme="majorHAnsi" w:hAnsiTheme="majorHAnsi" w:cstheme="majorHAnsi"/>
          <w:noProof/>
        </w:rPr>
        <w:drawing>
          <wp:inline distT="0" distB="0" distL="0" distR="0" wp14:anchorId="2959122D" wp14:editId="38122763">
            <wp:extent cx="6645910" cy="28136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2AF5" w14:textId="1632E76C" w:rsidR="00B16CE1" w:rsidRPr="008724A4" w:rsidRDefault="00B16CE1" w:rsidP="00EB0126">
      <w:pPr>
        <w:pStyle w:val="Legenda"/>
        <w:jc w:val="both"/>
        <w:rPr>
          <w:rFonts w:asciiTheme="majorHAnsi" w:hAnsiTheme="majorHAnsi" w:cstheme="majorHAnsi"/>
        </w:rPr>
      </w:pPr>
      <w:r>
        <w:t xml:space="preserve">Rysunek </w:t>
      </w:r>
      <w:fldSimple w:instr=" SEQ Rysunek \* ARABIC ">
        <w:r>
          <w:rPr>
            <w:noProof/>
          </w:rPr>
          <w:t>1</w:t>
        </w:r>
      </w:fldSimple>
      <w:r>
        <w:t xml:space="preserve"> Dane Unilink na podstawie 120 000 polis</w:t>
      </w:r>
    </w:p>
    <w:p w14:paraId="4C4C738F" w14:textId="3F92AFC5" w:rsidR="008724A4" w:rsidRPr="008724A4" w:rsidRDefault="003E4880" w:rsidP="008724A4">
      <w:pPr>
        <w:pStyle w:val="Nagwek2"/>
        <w:spacing w:before="0" w:beforeAutospacing="0" w:after="0"/>
      </w:pPr>
      <w:r>
        <w:t>Dodatkowa ochrona droższa</w:t>
      </w:r>
      <w:r w:rsidR="009948F3">
        <w:t>,</w:t>
      </w:r>
      <w:r>
        <w:t xml:space="preserve"> </w:t>
      </w:r>
      <w:r w:rsidR="00721CAD">
        <w:t>niż przed rokiem</w:t>
      </w:r>
    </w:p>
    <w:p w14:paraId="77119A4E" w14:textId="293607F1" w:rsidR="008724A4" w:rsidRPr="008724A4" w:rsidRDefault="00017DE5" w:rsidP="008724A4">
      <w:pPr>
        <w:jc w:val="both"/>
        <w:rPr>
          <w:rFonts w:asciiTheme="majorHAnsi" w:hAnsiTheme="majorHAnsi" w:cstheme="majorHAnsi"/>
        </w:rPr>
      </w:pPr>
      <w:r w:rsidRPr="008724A4">
        <w:rPr>
          <w:rFonts w:asciiTheme="majorHAnsi" w:hAnsiTheme="majorHAnsi" w:cstheme="majorHAnsi"/>
        </w:rPr>
        <w:t xml:space="preserve">Nieco inaczej wygląda sytuacja w przypadku łączenia ubezpieczenia OC z dobrowolnym autocasco (AC). </w:t>
      </w:r>
      <w:r w:rsidR="00F8189F" w:rsidRPr="008724A4">
        <w:rPr>
          <w:rFonts w:asciiTheme="majorHAnsi" w:hAnsiTheme="majorHAnsi" w:cstheme="majorHAnsi"/>
        </w:rPr>
        <w:t>Ś</w:t>
      </w:r>
      <w:r w:rsidRPr="008724A4">
        <w:rPr>
          <w:rFonts w:asciiTheme="majorHAnsi" w:hAnsiTheme="majorHAnsi" w:cstheme="majorHAnsi"/>
        </w:rPr>
        <w:t xml:space="preserve">rednia wartość </w:t>
      </w:r>
      <w:r w:rsidR="00F8189F" w:rsidRPr="008724A4">
        <w:rPr>
          <w:rFonts w:asciiTheme="majorHAnsi" w:hAnsiTheme="majorHAnsi" w:cstheme="majorHAnsi"/>
        </w:rPr>
        <w:t xml:space="preserve">łączonej składki </w:t>
      </w:r>
      <w:r w:rsidRPr="008724A4">
        <w:rPr>
          <w:rFonts w:asciiTheme="majorHAnsi" w:hAnsiTheme="majorHAnsi" w:cstheme="majorHAnsi"/>
        </w:rPr>
        <w:t>wzrosła o 4,8 proc. w porównaniu do stycznia ubiegłego roku</w:t>
      </w:r>
      <w:r w:rsidR="00F8189F" w:rsidRPr="008724A4">
        <w:rPr>
          <w:rFonts w:asciiTheme="majorHAnsi" w:hAnsiTheme="majorHAnsi" w:cstheme="majorHAnsi"/>
        </w:rPr>
        <w:t xml:space="preserve"> – </w:t>
      </w:r>
      <w:r w:rsidR="008724A4">
        <w:rPr>
          <w:rFonts w:asciiTheme="majorHAnsi" w:hAnsiTheme="majorHAnsi" w:cstheme="majorHAnsi"/>
        </w:rPr>
        <w:t xml:space="preserve">pozostając jednak </w:t>
      </w:r>
      <w:r w:rsidR="00F8189F" w:rsidRPr="008724A4">
        <w:rPr>
          <w:rFonts w:asciiTheme="majorHAnsi" w:hAnsiTheme="majorHAnsi" w:cstheme="majorHAnsi"/>
        </w:rPr>
        <w:t>wciąż wyraźnie poniżej uśrednionej stopy inflacji.</w:t>
      </w:r>
      <w:r w:rsidRPr="008724A4">
        <w:rPr>
          <w:rFonts w:asciiTheme="majorHAnsi" w:hAnsiTheme="majorHAnsi" w:cstheme="majorHAnsi"/>
        </w:rPr>
        <w:t xml:space="preserve"> </w:t>
      </w:r>
      <w:r w:rsidR="008724A4" w:rsidRPr="008724A4">
        <w:rPr>
          <w:rFonts w:asciiTheme="majorHAnsi" w:hAnsiTheme="majorHAnsi" w:cstheme="majorHAnsi"/>
        </w:rPr>
        <w:t xml:space="preserve">Średnia wartość składki za </w:t>
      </w:r>
      <w:r w:rsidR="008724A4">
        <w:rPr>
          <w:rFonts w:asciiTheme="majorHAnsi" w:hAnsiTheme="majorHAnsi" w:cstheme="majorHAnsi"/>
        </w:rPr>
        <w:t xml:space="preserve">samą </w:t>
      </w:r>
      <w:r w:rsidR="008724A4" w:rsidRPr="008724A4">
        <w:rPr>
          <w:rFonts w:asciiTheme="majorHAnsi" w:hAnsiTheme="majorHAnsi" w:cstheme="majorHAnsi"/>
        </w:rPr>
        <w:t>polisę AC</w:t>
      </w:r>
      <w:r w:rsidR="008724A4">
        <w:rPr>
          <w:rFonts w:asciiTheme="majorHAnsi" w:hAnsiTheme="majorHAnsi" w:cstheme="majorHAnsi"/>
        </w:rPr>
        <w:t> </w:t>
      </w:r>
      <w:r w:rsidR="008724A4" w:rsidRPr="008724A4">
        <w:rPr>
          <w:rFonts w:asciiTheme="majorHAnsi" w:hAnsiTheme="majorHAnsi" w:cstheme="majorHAnsi"/>
        </w:rPr>
        <w:t>wzrosła o 7,1 proc. w skali całego kraju</w:t>
      </w:r>
      <w:r w:rsidR="00721CAD">
        <w:rPr>
          <w:rFonts w:asciiTheme="majorHAnsi" w:hAnsiTheme="majorHAnsi" w:cstheme="majorHAnsi"/>
        </w:rPr>
        <w:t>.</w:t>
      </w:r>
    </w:p>
    <w:p w14:paraId="19DAD4BC" w14:textId="5F1D4DAE" w:rsidR="003A4561" w:rsidRPr="008724A4" w:rsidRDefault="00F8189F" w:rsidP="008724A4">
      <w:pPr>
        <w:jc w:val="both"/>
        <w:rPr>
          <w:rFonts w:asciiTheme="majorHAnsi" w:hAnsiTheme="majorHAnsi" w:cstheme="majorHAnsi"/>
        </w:rPr>
      </w:pPr>
      <w:r w:rsidRPr="008724A4">
        <w:rPr>
          <w:rFonts w:asciiTheme="majorHAnsi" w:hAnsiTheme="majorHAnsi" w:cstheme="majorHAnsi"/>
        </w:rPr>
        <w:lastRenderedPageBreak/>
        <w:t xml:space="preserve">Choć w jedenastu z województw wzrost składek </w:t>
      </w:r>
      <w:r w:rsidR="008724A4">
        <w:rPr>
          <w:rFonts w:asciiTheme="majorHAnsi" w:hAnsiTheme="majorHAnsi" w:cstheme="majorHAnsi"/>
        </w:rPr>
        <w:t xml:space="preserve">OC+AC </w:t>
      </w:r>
      <w:r w:rsidRPr="008724A4">
        <w:rPr>
          <w:rFonts w:asciiTheme="majorHAnsi" w:hAnsiTheme="majorHAnsi" w:cstheme="majorHAnsi"/>
        </w:rPr>
        <w:t xml:space="preserve">nie przekroczył 9 proc., to w przypadku </w:t>
      </w:r>
      <w:r w:rsidR="00EB0126">
        <w:rPr>
          <w:rFonts w:asciiTheme="majorHAnsi" w:hAnsiTheme="majorHAnsi" w:cstheme="majorHAnsi"/>
        </w:rPr>
        <w:t>W</w:t>
      </w:r>
      <w:r w:rsidRPr="008724A4">
        <w:rPr>
          <w:rFonts w:asciiTheme="majorHAnsi" w:hAnsiTheme="majorHAnsi" w:cstheme="majorHAnsi"/>
        </w:rPr>
        <w:t xml:space="preserve">ielkopolski (+17 proc.), województw dolnośląskiego (+15,2 proc.), śląskiego (+13,1 proc.) oraz lubelskiego (+12,6 proc.) możemy mówić o wyraźnej zmianie. Jako jedyni na łączonej składce zaoszczędzili mieszkańcy województwa małopolskiego, a w dodatku w tym przypadku mowa o </w:t>
      </w:r>
      <w:r w:rsidR="00721CAD">
        <w:rPr>
          <w:rFonts w:asciiTheme="majorHAnsi" w:hAnsiTheme="majorHAnsi" w:cstheme="majorHAnsi"/>
        </w:rPr>
        <w:t xml:space="preserve">wyraźnej </w:t>
      </w:r>
      <w:r w:rsidRPr="008724A4">
        <w:rPr>
          <w:rFonts w:asciiTheme="majorHAnsi" w:hAnsiTheme="majorHAnsi" w:cstheme="majorHAnsi"/>
        </w:rPr>
        <w:t>korekcie aż o 12 proc.</w:t>
      </w:r>
      <w:r w:rsidR="00E605DB" w:rsidRPr="008724A4">
        <w:rPr>
          <w:rFonts w:asciiTheme="majorHAnsi" w:hAnsiTheme="majorHAnsi" w:cstheme="majorHAnsi"/>
        </w:rPr>
        <w:t xml:space="preserve"> Również wartość składki za</w:t>
      </w:r>
      <w:r w:rsidR="008724A4">
        <w:rPr>
          <w:rFonts w:asciiTheme="majorHAnsi" w:hAnsiTheme="majorHAnsi" w:cstheme="majorHAnsi"/>
        </w:rPr>
        <w:t> </w:t>
      </w:r>
      <w:r w:rsidR="00E605DB" w:rsidRPr="008724A4">
        <w:rPr>
          <w:rFonts w:asciiTheme="majorHAnsi" w:hAnsiTheme="majorHAnsi" w:cstheme="majorHAnsi"/>
        </w:rPr>
        <w:t>samo ubezpieczenie AC w tym właśnie województwie była jedną z najniższych w kraju. Na przeciwnym końcu skali, z</w:t>
      </w:r>
      <w:r w:rsidR="008724A4">
        <w:rPr>
          <w:rFonts w:asciiTheme="majorHAnsi" w:hAnsiTheme="majorHAnsi" w:cstheme="majorHAnsi"/>
        </w:rPr>
        <w:t> </w:t>
      </w:r>
      <w:r w:rsidR="00E605DB" w:rsidRPr="008724A4">
        <w:rPr>
          <w:rFonts w:asciiTheme="majorHAnsi" w:hAnsiTheme="majorHAnsi" w:cstheme="majorHAnsi"/>
        </w:rPr>
        <w:t>najwyższą składką znalazło się województwo Zachodniopomorskie, które za sprawą wzrostu o 21,8 proc. w</w:t>
      </w:r>
      <w:r w:rsidR="008724A4">
        <w:rPr>
          <w:rFonts w:asciiTheme="majorHAnsi" w:hAnsiTheme="majorHAnsi" w:cstheme="majorHAnsi"/>
        </w:rPr>
        <w:t> </w:t>
      </w:r>
      <w:r w:rsidR="00E605DB" w:rsidRPr="008724A4">
        <w:rPr>
          <w:rFonts w:asciiTheme="majorHAnsi" w:hAnsiTheme="majorHAnsi" w:cstheme="majorHAnsi"/>
        </w:rPr>
        <w:t xml:space="preserve">porównaniu do ubiegłego roku </w:t>
      </w:r>
      <w:r w:rsidR="00E605DB" w:rsidRPr="008724A4">
        <w:rPr>
          <w:rFonts w:asciiTheme="majorHAnsi" w:hAnsiTheme="majorHAnsi" w:cstheme="majorHAnsi"/>
          <w:i/>
          <w:iCs/>
        </w:rPr>
        <w:t>awansowało</w:t>
      </w:r>
      <w:r w:rsidR="00E605DB" w:rsidRPr="008724A4">
        <w:rPr>
          <w:rFonts w:asciiTheme="majorHAnsi" w:hAnsiTheme="majorHAnsi" w:cstheme="majorHAnsi"/>
        </w:rPr>
        <w:t xml:space="preserve"> z czwartej na pierwszą pozycję</w:t>
      </w:r>
      <w:r w:rsidR="008724A4">
        <w:rPr>
          <w:rFonts w:asciiTheme="majorHAnsi" w:hAnsiTheme="majorHAnsi" w:cstheme="majorHAnsi"/>
        </w:rPr>
        <w:t xml:space="preserve"> w </w:t>
      </w:r>
      <w:r w:rsidR="00721CAD">
        <w:rPr>
          <w:rFonts w:asciiTheme="majorHAnsi" w:hAnsiTheme="majorHAnsi" w:cstheme="majorHAnsi"/>
        </w:rPr>
        <w:t xml:space="preserve">styczniowym </w:t>
      </w:r>
      <w:r w:rsidR="008724A4">
        <w:rPr>
          <w:rFonts w:asciiTheme="majorHAnsi" w:hAnsiTheme="majorHAnsi" w:cstheme="majorHAnsi"/>
        </w:rPr>
        <w:t>zestawieniu</w:t>
      </w:r>
      <w:r w:rsidR="00E605DB" w:rsidRPr="008724A4">
        <w:rPr>
          <w:rFonts w:asciiTheme="majorHAnsi" w:hAnsiTheme="majorHAnsi" w:cstheme="majorHAnsi"/>
        </w:rPr>
        <w:t>.</w:t>
      </w:r>
    </w:p>
    <w:p w14:paraId="0069A5FD" w14:textId="0598D281" w:rsidR="00E605DB" w:rsidRPr="008724A4" w:rsidRDefault="00C87A77" w:rsidP="008724A4">
      <w:pPr>
        <w:spacing w:after="120"/>
        <w:jc w:val="both"/>
        <w:rPr>
          <w:rFonts w:asciiTheme="majorHAnsi" w:hAnsiTheme="majorHAnsi" w:cstheme="majorHAnsi"/>
          <w:i/>
          <w:iCs/>
        </w:rPr>
      </w:pPr>
      <w:r w:rsidRPr="00AB6D38">
        <w:rPr>
          <w:rFonts w:asciiTheme="majorHAnsi" w:hAnsiTheme="majorHAnsi" w:cstheme="majorHAnsi"/>
          <w:i/>
          <w:iCs/>
        </w:rPr>
        <w:t>W</w:t>
      </w:r>
      <w:r w:rsidR="00E605DB" w:rsidRPr="00AB6D38">
        <w:rPr>
          <w:rFonts w:asciiTheme="majorHAnsi" w:hAnsiTheme="majorHAnsi" w:cstheme="majorHAnsi"/>
          <w:i/>
          <w:iCs/>
        </w:rPr>
        <w:t xml:space="preserve">pływ na </w:t>
      </w:r>
      <w:r w:rsidR="00134FB2" w:rsidRPr="00AB6D38">
        <w:rPr>
          <w:rFonts w:asciiTheme="majorHAnsi" w:hAnsiTheme="majorHAnsi" w:cstheme="majorHAnsi"/>
          <w:i/>
          <w:iCs/>
        </w:rPr>
        <w:t xml:space="preserve">wartość składki </w:t>
      </w:r>
      <w:r w:rsidR="002339BB" w:rsidRPr="00AB6D38">
        <w:rPr>
          <w:rFonts w:asciiTheme="majorHAnsi" w:hAnsiTheme="majorHAnsi" w:cstheme="majorHAnsi"/>
          <w:i/>
          <w:iCs/>
        </w:rPr>
        <w:t xml:space="preserve">w ubezpieczeniach komunikacyjnych </w:t>
      </w:r>
      <w:r w:rsidR="00E605DB" w:rsidRPr="00AB6D38">
        <w:rPr>
          <w:rFonts w:asciiTheme="majorHAnsi" w:hAnsiTheme="majorHAnsi" w:cstheme="majorHAnsi"/>
          <w:i/>
          <w:iCs/>
        </w:rPr>
        <w:t>ma cały szereg czynników</w:t>
      </w:r>
      <w:r w:rsidRPr="00AB6D38">
        <w:rPr>
          <w:rFonts w:asciiTheme="majorHAnsi" w:hAnsiTheme="majorHAnsi" w:cstheme="majorHAnsi"/>
          <w:i/>
          <w:iCs/>
        </w:rPr>
        <w:t>, które od lat są stosowane i poddawane analizie przez towarzystwa ubezpieczeniowe. Jednak tym, co w ostatnim czasie szczególnie wpływa na dynamikę składek z tytułu ubezpieczenia AC są przerwy w globalnych łańcuchach dostaw, rosnący kurs euro, droższy koszt zakupu części, jak również wyższe koszty napraw chociażby ze względu na to</w:t>
      </w:r>
      <w:r w:rsidR="008D3164" w:rsidRPr="00AB6D38">
        <w:rPr>
          <w:rFonts w:asciiTheme="majorHAnsi" w:hAnsiTheme="majorHAnsi" w:cstheme="majorHAnsi"/>
          <w:i/>
          <w:iCs/>
        </w:rPr>
        <w:t xml:space="preserve">, że Polacy posiadają stosunkowo </w:t>
      </w:r>
      <w:r w:rsidR="008D3164" w:rsidRPr="00EB0126">
        <w:rPr>
          <w:rFonts w:asciiTheme="majorHAnsi" w:hAnsiTheme="majorHAnsi" w:cstheme="majorHAnsi"/>
          <w:i/>
          <w:iCs/>
        </w:rPr>
        <w:t xml:space="preserve">coraz </w:t>
      </w:r>
      <w:r w:rsidR="00451F34" w:rsidRPr="00EB0126">
        <w:rPr>
          <w:rFonts w:asciiTheme="majorHAnsi" w:hAnsiTheme="majorHAnsi" w:cstheme="majorHAnsi"/>
          <w:i/>
          <w:iCs/>
        </w:rPr>
        <w:t xml:space="preserve">droższe </w:t>
      </w:r>
      <w:r w:rsidR="008D3164" w:rsidRPr="00EB0126">
        <w:rPr>
          <w:rFonts w:asciiTheme="majorHAnsi" w:hAnsiTheme="majorHAnsi" w:cstheme="majorHAnsi"/>
          <w:i/>
          <w:iCs/>
        </w:rPr>
        <w:t>samochody.</w:t>
      </w:r>
      <w:r w:rsidR="00E605DB" w:rsidRPr="00EB0126">
        <w:rPr>
          <w:rFonts w:asciiTheme="majorHAnsi" w:hAnsiTheme="majorHAnsi" w:cstheme="majorHAnsi"/>
          <w:b/>
          <w:bCs/>
          <w:i/>
          <w:iCs/>
        </w:rPr>
        <w:t xml:space="preserve">– </w:t>
      </w:r>
      <w:r w:rsidR="00E605DB" w:rsidRPr="00EB0126">
        <w:rPr>
          <w:rFonts w:asciiTheme="majorHAnsi" w:hAnsiTheme="majorHAnsi" w:cstheme="majorHAnsi"/>
          <w:b/>
          <w:bCs/>
        </w:rPr>
        <w:t xml:space="preserve">mówi </w:t>
      </w:r>
      <w:r w:rsidR="00304310" w:rsidRPr="00EB0126">
        <w:rPr>
          <w:rFonts w:asciiTheme="majorHAnsi" w:hAnsiTheme="majorHAnsi" w:cstheme="majorHAnsi"/>
          <w:b/>
          <w:bCs/>
        </w:rPr>
        <w:t>Łukasz Linek</w:t>
      </w:r>
      <w:r w:rsidR="00E605DB" w:rsidRPr="00EB0126">
        <w:rPr>
          <w:rFonts w:asciiTheme="majorHAnsi" w:hAnsiTheme="majorHAnsi" w:cstheme="majorHAnsi"/>
          <w:b/>
          <w:bCs/>
        </w:rPr>
        <w:t xml:space="preserve">, </w:t>
      </w:r>
      <w:r w:rsidR="00304310" w:rsidRPr="00EB0126">
        <w:rPr>
          <w:rFonts w:asciiTheme="majorHAnsi" w:hAnsiTheme="majorHAnsi" w:cstheme="majorHAnsi"/>
          <w:b/>
          <w:bCs/>
        </w:rPr>
        <w:t>członek Zarządu</w:t>
      </w:r>
      <w:r w:rsidR="00C6291C" w:rsidRPr="00EB0126">
        <w:rPr>
          <w:rFonts w:asciiTheme="majorHAnsi" w:hAnsiTheme="majorHAnsi" w:cstheme="majorHAnsi"/>
          <w:b/>
          <w:bCs/>
        </w:rPr>
        <w:t xml:space="preserve"> </w:t>
      </w:r>
      <w:r w:rsidR="00E605DB" w:rsidRPr="00EB0126">
        <w:rPr>
          <w:rFonts w:asciiTheme="majorHAnsi" w:hAnsiTheme="majorHAnsi" w:cstheme="majorHAnsi"/>
          <w:b/>
          <w:bCs/>
        </w:rPr>
        <w:t>w Unilink S.A.</w:t>
      </w:r>
    </w:p>
    <w:p w14:paraId="31EC4D49" w14:textId="77777777" w:rsidR="00B16CE1" w:rsidRDefault="00B16CE1" w:rsidP="00EB0126">
      <w:pPr>
        <w:pStyle w:val="Nagwek2"/>
        <w:keepNext/>
        <w:spacing w:after="0"/>
      </w:pPr>
      <w:r>
        <w:rPr>
          <w:noProof/>
        </w:rPr>
        <w:drawing>
          <wp:inline distT="0" distB="0" distL="0" distR="0" wp14:anchorId="1B7BDFF4" wp14:editId="2F93BFE3">
            <wp:extent cx="6645910" cy="28136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1A47" w14:textId="662910A2" w:rsidR="00C6291C" w:rsidRDefault="00B16CE1" w:rsidP="00EB0126">
      <w:pPr>
        <w:pStyle w:val="Legenda"/>
        <w:jc w:val="both"/>
      </w:pPr>
      <w:r>
        <w:t xml:space="preserve">Rysunek </w:t>
      </w:r>
      <w:fldSimple w:instr=" SEQ Rysunek \* ARABIC ">
        <w:r>
          <w:rPr>
            <w:noProof/>
          </w:rPr>
          <w:t>2</w:t>
        </w:r>
      </w:fldSimple>
      <w:r>
        <w:t xml:space="preserve"> Dane Unilink na podstawie 120 000 polis</w:t>
      </w:r>
    </w:p>
    <w:p w14:paraId="1915F2A0" w14:textId="7CE7AF8E" w:rsidR="00C6291C" w:rsidRPr="00C6291C" w:rsidRDefault="003629F0" w:rsidP="00C6291C">
      <w:pPr>
        <w:pStyle w:val="Nagwek2"/>
        <w:spacing w:after="0"/>
      </w:pPr>
      <w:r w:rsidRPr="008724A4">
        <w:t>Ubezpieczenia majątkowe drożeją wolniej, niż mieszkania</w:t>
      </w:r>
    </w:p>
    <w:p w14:paraId="03E892D5" w14:textId="23BC8758" w:rsidR="003629F0" w:rsidRPr="008724A4" w:rsidRDefault="003A4561" w:rsidP="008724A4">
      <w:pPr>
        <w:jc w:val="both"/>
        <w:rPr>
          <w:rFonts w:asciiTheme="majorHAnsi" w:hAnsiTheme="majorHAnsi" w:cstheme="majorHAnsi"/>
        </w:rPr>
      </w:pPr>
      <w:r w:rsidRPr="008724A4">
        <w:rPr>
          <w:rFonts w:asciiTheme="majorHAnsi" w:hAnsiTheme="majorHAnsi" w:cstheme="majorHAnsi"/>
        </w:rPr>
        <w:t xml:space="preserve">Sytuacja w ubezpieczeniach majątkowych wygląda inaczej niż w komunikacyjnych. </w:t>
      </w:r>
      <w:r w:rsidR="001F739A" w:rsidRPr="008724A4">
        <w:rPr>
          <w:rFonts w:asciiTheme="majorHAnsi" w:hAnsiTheme="majorHAnsi" w:cstheme="majorHAnsi"/>
        </w:rPr>
        <w:t>Według danych PKO Banku Polskiego z trzeciego kwartału 2021</w:t>
      </w:r>
      <w:r w:rsidR="008724A4">
        <w:rPr>
          <w:rFonts w:asciiTheme="majorHAnsi" w:hAnsiTheme="majorHAnsi" w:cstheme="majorHAnsi"/>
        </w:rPr>
        <w:t>,</w:t>
      </w:r>
      <w:r w:rsidR="001F739A" w:rsidRPr="008724A4">
        <w:rPr>
          <w:rFonts w:asciiTheme="majorHAnsi" w:hAnsiTheme="majorHAnsi" w:cstheme="majorHAnsi"/>
        </w:rPr>
        <w:t xml:space="preserve"> ceny mieszkań z rynku pierwotnego w największych polskich miastach rosły od ok. 11 proc. do ok. 14 proc. porównując do analogicznego okresu rok wcześniej.</w:t>
      </w:r>
      <w:r w:rsidR="00EB0126">
        <w:rPr>
          <w:rFonts w:asciiTheme="majorHAnsi" w:hAnsiTheme="majorHAnsi" w:cstheme="majorHAnsi"/>
        </w:rPr>
        <w:t xml:space="preserve"> </w:t>
      </w:r>
      <w:r w:rsidR="001F739A" w:rsidRPr="008724A4">
        <w:rPr>
          <w:rFonts w:asciiTheme="majorHAnsi" w:hAnsiTheme="majorHAnsi" w:cstheme="majorHAnsi"/>
        </w:rPr>
        <w:t xml:space="preserve">Podobnie zmieniała się wartość mieszkań sprzedawanych z drugiej ręki, osiągając ok. 10-12 proc. wzrostu. </w:t>
      </w:r>
      <w:r w:rsidR="008724A4">
        <w:rPr>
          <w:rFonts w:asciiTheme="majorHAnsi" w:hAnsiTheme="majorHAnsi" w:cstheme="majorHAnsi"/>
        </w:rPr>
        <w:t>W</w:t>
      </w:r>
      <w:r w:rsidR="001F739A" w:rsidRPr="008724A4">
        <w:rPr>
          <w:rFonts w:asciiTheme="majorHAnsi" w:hAnsiTheme="majorHAnsi" w:cstheme="majorHAnsi"/>
        </w:rPr>
        <w:t xml:space="preserve"> parze ze wzrostem cen </w:t>
      </w:r>
      <w:r w:rsidR="008724A4">
        <w:rPr>
          <w:rFonts w:asciiTheme="majorHAnsi" w:hAnsiTheme="majorHAnsi" w:cstheme="majorHAnsi"/>
        </w:rPr>
        <w:t xml:space="preserve">rośnie również średnia składka dla </w:t>
      </w:r>
      <w:r w:rsidR="00F622F3" w:rsidRPr="008724A4">
        <w:rPr>
          <w:rFonts w:asciiTheme="majorHAnsi" w:hAnsiTheme="majorHAnsi" w:cstheme="majorHAnsi"/>
        </w:rPr>
        <w:t>polisy mieszkaniowe</w:t>
      </w:r>
      <w:r w:rsidR="008724A4">
        <w:rPr>
          <w:rFonts w:asciiTheme="majorHAnsi" w:hAnsiTheme="majorHAnsi" w:cstheme="majorHAnsi"/>
        </w:rPr>
        <w:t>j</w:t>
      </w:r>
      <w:r w:rsidR="00F622F3" w:rsidRPr="008724A4">
        <w:rPr>
          <w:rFonts w:asciiTheme="majorHAnsi" w:hAnsiTheme="majorHAnsi" w:cstheme="majorHAnsi"/>
        </w:rPr>
        <w:t>, jednak w tym przypadku wzrost ten w styczniu 2022 r. w porównaniu do ubiegłorocznego wyniósł 9,1 proc., niemal dokładnie tyle, co uśredniona inflacja</w:t>
      </w:r>
      <w:r w:rsidR="008724A4">
        <w:rPr>
          <w:rFonts w:asciiTheme="majorHAnsi" w:hAnsiTheme="majorHAnsi" w:cstheme="majorHAnsi"/>
        </w:rPr>
        <w:t xml:space="preserve">. Oznacza to, że same polisy nie drożeją, a jedynie idą w parze ze wzrostem wartości ubezpieczanych </w:t>
      </w:r>
      <w:r w:rsidR="008B6105">
        <w:rPr>
          <w:rFonts w:asciiTheme="majorHAnsi" w:hAnsiTheme="majorHAnsi" w:cstheme="majorHAnsi"/>
        </w:rPr>
        <w:t>aktywów</w:t>
      </w:r>
      <w:r w:rsidR="008724A4">
        <w:rPr>
          <w:rFonts w:asciiTheme="majorHAnsi" w:hAnsiTheme="majorHAnsi" w:cstheme="majorHAnsi"/>
        </w:rPr>
        <w:t>.</w:t>
      </w:r>
    </w:p>
    <w:p w14:paraId="704E7499" w14:textId="2C485F07" w:rsidR="00347AF6" w:rsidRDefault="00F622F3" w:rsidP="008724A4">
      <w:pPr>
        <w:jc w:val="both"/>
        <w:rPr>
          <w:rFonts w:asciiTheme="majorHAnsi" w:hAnsiTheme="majorHAnsi" w:cstheme="majorHAnsi"/>
        </w:rPr>
      </w:pPr>
      <w:r w:rsidRPr="008724A4">
        <w:rPr>
          <w:rFonts w:asciiTheme="majorHAnsi" w:hAnsiTheme="majorHAnsi" w:cstheme="majorHAnsi"/>
        </w:rPr>
        <w:t>Największe wzrosty składek odnotowano w województwach warmińsko-mazurskim (+21,3 proc.), wielkopolskim (+19,4 proc.) oraz lubelskim (+19,1 proc.). Pocieszeniem dla mieszkańców Lubelszczyzny oraz Warmii i Mazur może być fakt, że</w:t>
      </w:r>
      <w:r w:rsidR="008724A4">
        <w:rPr>
          <w:rFonts w:asciiTheme="majorHAnsi" w:hAnsiTheme="majorHAnsi" w:cstheme="majorHAnsi"/>
        </w:rPr>
        <w:t>,</w:t>
      </w:r>
      <w:r w:rsidRPr="008724A4">
        <w:rPr>
          <w:rFonts w:asciiTheme="majorHAnsi" w:hAnsiTheme="majorHAnsi" w:cstheme="majorHAnsi"/>
        </w:rPr>
        <w:t xml:space="preserve"> zaraz po Podlasiu, regiony te odznaczają się najniższą wartością składki. Jedynym województwem, które odnotowało spadek </w:t>
      </w:r>
      <w:r w:rsidR="00134FB2" w:rsidRPr="008724A4">
        <w:rPr>
          <w:rFonts w:asciiTheme="majorHAnsi" w:hAnsiTheme="majorHAnsi" w:cstheme="majorHAnsi"/>
        </w:rPr>
        <w:t xml:space="preserve">opłaty za ubezpieczenie majątkowe jest opolskie, które jednocześnie opuściło pozycję zeszłorocznego lidera pod względem wysokości zobowiązania. Wciąż jednak utrzymuje się w pierwszej trójce, tuż za </w:t>
      </w:r>
      <w:r w:rsidR="00EB0126">
        <w:rPr>
          <w:rFonts w:asciiTheme="majorHAnsi" w:hAnsiTheme="majorHAnsi" w:cstheme="majorHAnsi"/>
        </w:rPr>
        <w:t>M</w:t>
      </w:r>
      <w:r w:rsidR="00134FB2" w:rsidRPr="008724A4">
        <w:rPr>
          <w:rFonts w:asciiTheme="majorHAnsi" w:hAnsiTheme="majorHAnsi" w:cstheme="majorHAnsi"/>
        </w:rPr>
        <w:t xml:space="preserve">ałopolską </w:t>
      </w:r>
      <w:r w:rsidR="008724A4">
        <w:rPr>
          <w:rFonts w:asciiTheme="majorHAnsi" w:hAnsiTheme="majorHAnsi" w:cstheme="majorHAnsi"/>
        </w:rPr>
        <w:t xml:space="preserve">i </w:t>
      </w:r>
      <w:r w:rsidR="00134FB2" w:rsidRPr="008724A4">
        <w:rPr>
          <w:rFonts w:asciiTheme="majorHAnsi" w:hAnsiTheme="majorHAnsi" w:cstheme="majorHAnsi"/>
        </w:rPr>
        <w:t>województwem śląskim.</w:t>
      </w:r>
      <w:r w:rsidR="00C6291C">
        <w:rPr>
          <w:rFonts w:asciiTheme="majorHAnsi" w:hAnsiTheme="majorHAnsi" w:cstheme="majorHAnsi"/>
        </w:rPr>
        <w:t xml:space="preserve"> </w:t>
      </w:r>
    </w:p>
    <w:p w14:paraId="7C48AB92" w14:textId="6CFFD5C3" w:rsidR="00E66775" w:rsidRPr="008724A4" w:rsidRDefault="00E66775" w:rsidP="00E66775">
      <w:pPr>
        <w:spacing w:after="120"/>
        <w:jc w:val="both"/>
        <w:rPr>
          <w:rFonts w:asciiTheme="majorHAnsi" w:hAnsiTheme="majorHAnsi" w:cstheme="majorHAnsi"/>
          <w:i/>
          <w:iCs/>
        </w:rPr>
      </w:pPr>
      <w:r w:rsidRPr="00EB0126">
        <w:rPr>
          <w:rFonts w:asciiTheme="majorHAnsi" w:hAnsiTheme="majorHAnsi" w:cstheme="majorHAnsi"/>
          <w:i/>
          <w:iCs/>
        </w:rPr>
        <w:t xml:space="preserve">- </w:t>
      </w:r>
      <w:r w:rsidR="00B247E5" w:rsidRPr="00EB0126">
        <w:rPr>
          <w:rFonts w:asciiTheme="majorHAnsi" w:hAnsiTheme="majorHAnsi" w:cstheme="majorHAnsi"/>
          <w:i/>
          <w:iCs/>
        </w:rPr>
        <w:t>Analizując dane z rynku detalicznego</w:t>
      </w:r>
      <w:r w:rsidR="00CE735E" w:rsidRPr="00EB0126">
        <w:rPr>
          <w:rFonts w:asciiTheme="majorHAnsi" w:hAnsiTheme="majorHAnsi" w:cstheme="majorHAnsi"/>
          <w:i/>
          <w:iCs/>
        </w:rPr>
        <w:t>,</w:t>
      </w:r>
      <w:r w:rsidR="00B247E5" w:rsidRPr="00EB0126">
        <w:rPr>
          <w:rFonts w:asciiTheme="majorHAnsi" w:hAnsiTheme="majorHAnsi" w:cstheme="majorHAnsi"/>
          <w:i/>
          <w:iCs/>
        </w:rPr>
        <w:t xml:space="preserve"> można stwierdzić, że segment ubezpieczeń indywidualnych broni się przed inflacją, a dynamika przyrostu cen jest niższa niż w pozostałych branżach. Jednak należy się spodziewać, że jeszcze w tym roku dojdzie do odwrócenia tego trendu. Dlatego warto wykorzystać moment i pomyśleć o zakupie dodatkowych ubezpieczeń właśnie teraz.</w:t>
      </w:r>
      <w:r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</w:rPr>
        <w:t xml:space="preserve">– podsumowuje </w:t>
      </w:r>
      <w:r>
        <w:rPr>
          <w:rFonts w:asciiTheme="majorHAnsi" w:hAnsiTheme="majorHAnsi" w:cstheme="majorHAnsi"/>
          <w:b/>
          <w:bCs/>
        </w:rPr>
        <w:t>Łukasz Linek</w:t>
      </w:r>
      <w:r w:rsidR="006F4214">
        <w:rPr>
          <w:rFonts w:asciiTheme="majorHAnsi" w:hAnsiTheme="majorHAnsi" w:cstheme="majorHAnsi"/>
          <w:b/>
          <w:bCs/>
        </w:rPr>
        <w:t xml:space="preserve"> z Unilink.</w:t>
      </w:r>
    </w:p>
    <w:p w14:paraId="5B8EA497" w14:textId="0AEB021E" w:rsidR="00B247E5" w:rsidRPr="00E66775" w:rsidRDefault="00B247E5" w:rsidP="008724A4">
      <w:pPr>
        <w:jc w:val="both"/>
        <w:rPr>
          <w:rFonts w:asciiTheme="majorHAnsi" w:hAnsiTheme="majorHAnsi" w:cstheme="majorHAnsi"/>
        </w:rPr>
      </w:pPr>
    </w:p>
    <w:p w14:paraId="5F9C1D7E" w14:textId="77777777" w:rsidR="002134E8" w:rsidRPr="008724A4" w:rsidRDefault="002134E8" w:rsidP="008724A4">
      <w:pPr>
        <w:jc w:val="both"/>
        <w:rPr>
          <w:rFonts w:asciiTheme="majorHAnsi" w:hAnsiTheme="majorHAnsi" w:cstheme="majorHAnsi"/>
        </w:rPr>
      </w:pPr>
    </w:p>
    <w:p w14:paraId="441BA2F5" w14:textId="41E7AFC2" w:rsidR="00A66DA4" w:rsidRPr="008724A4" w:rsidRDefault="00A66DA4" w:rsidP="008724A4">
      <w:pPr>
        <w:pStyle w:val="Nagwek2"/>
        <w:spacing w:after="0"/>
      </w:pPr>
      <w:r w:rsidRPr="008724A4">
        <w:t>O Unilink:</w:t>
      </w:r>
    </w:p>
    <w:p w14:paraId="547B2467" w14:textId="73FDCEBA" w:rsidR="001C7D02" w:rsidRPr="008724A4" w:rsidRDefault="001C7D02" w:rsidP="008724A4">
      <w:pPr>
        <w:spacing w:before="100" w:beforeAutospacing="1" w:after="0"/>
        <w:jc w:val="both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 w:rsidRPr="008724A4">
        <w:rPr>
          <w:rFonts w:asciiTheme="majorHAnsi" w:hAnsiTheme="majorHAnsi" w:cstheme="majorHAnsi"/>
          <w:b/>
          <w:bCs/>
          <w:color w:val="000000"/>
          <w:sz w:val="18"/>
          <w:szCs w:val="18"/>
          <w:lang w:eastAsia="pl-PL"/>
        </w:rPr>
        <w:t>Unilink S.A.</w:t>
      </w:r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 to wiodący dystrybutor ubezpieczeń na polskim rynku i właściciel czołowych spółek brokerskich w Bułgarii - I&amp;G </w:t>
      </w:r>
      <w:proofErr w:type="spellStart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Brokers</w:t>
      </w:r>
      <w:proofErr w:type="spellEnd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 i Rumunii - </w:t>
      </w:r>
      <w:proofErr w:type="spellStart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Safety</w:t>
      </w:r>
      <w:proofErr w:type="spellEnd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 Broker de </w:t>
      </w:r>
      <w:proofErr w:type="spellStart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Asigurare</w:t>
      </w:r>
      <w:proofErr w:type="spellEnd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 (prowadzącego również działalność w Mołdawii). W swojej ofercie posiada produkty ponad 40 Towarzystw Ubezpieczeniowych, które oferuje za pośrednictwem 1000 oznakowanych placówek partnerskich i sieci 14 000 Agentów. W portfolio produktów </w:t>
      </w:r>
      <w:proofErr w:type="spellStart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multiagencji</w:t>
      </w:r>
      <w:proofErr w:type="spellEnd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 znajdują się ubezpieczenia indywidualne, komunikacyjne (OC, AC i </w:t>
      </w:r>
      <w:proofErr w:type="spellStart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assistance</w:t>
      </w:r>
      <w:proofErr w:type="spellEnd"/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), ubezpieczenia domów i mieszkań, turystyczne czy ubezpieczenia na życie</w:t>
      </w:r>
      <w:r w:rsidR="002274B4"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 i zdrowie</w:t>
      </w:r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 oraz produkty dla biznesu – między innymi ubezpieczenia firm, OC zawodowe, ubezpieczenia floty, ubezpieczenia CARGO czy OC przewoźnika. Misją marki jest tworzenie trwałej przewagi konkurencyjnej dla Partnerów – Agentów oraz Towarzystw Ubezpieczeń, poprzez organizowanie i zarządzanie nowoczesną strukturą sprzedaży ubezpieczeń. Unilink jest oficjalnym sponsorem Polskiej Ligi Siatkówki, a</w:t>
      </w:r>
      <w:r w:rsidR="009C7AC3"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> </w:t>
      </w:r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także organizatorem Olimpiady Wiedzy Ubezpieczeniowej Agentów. </w:t>
      </w:r>
    </w:p>
    <w:p w14:paraId="13305CF6" w14:textId="533A3DF9" w:rsidR="001C7D02" w:rsidRPr="008724A4" w:rsidRDefault="001C7D02" w:rsidP="008724A4">
      <w:pPr>
        <w:spacing w:after="100" w:afterAutospacing="1"/>
        <w:jc w:val="both"/>
        <w:rPr>
          <w:rFonts w:asciiTheme="majorHAnsi" w:hAnsiTheme="majorHAnsi" w:cstheme="majorHAnsi"/>
          <w:color w:val="000000"/>
          <w:sz w:val="18"/>
          <w:szCs w:val="18"/>
          <w:lang w:eastAsia="pl-PL"/>
        </w:rPr>
      </w:pPr>
      <w:r w:rsidRPr="008724A4">
        <w:rPr>
          <w:rFonts w:asciiTheme="majorHAnsi" w:hAnsiTheme="majorHAnsi" w:cstheme="majorHAnsi"/>
          <w:color w:val="000000"/>
          <w:sz w:val="18"/>
          <w:szCs w:val="18"/>
          <w:lang w:eastAsia="pl-PL"/>
        </w:rPr>
        <w:t xml:space="preserve">Więcej o Unilink na </w:t>
      </w:r>
      <w:hyperlink r:id="rId10" w:history="1">
        <w:r w:rsidRPr="008724A4">
          <w:rPr>
            <w:rStyle w:val="Hipercze"/>
            <w:rFonts w:asciiTheme="majorHAnsi" w:hAnsiTheme="majorHAnsi" w:cstheme="majorHAnsi"/>
            <w:sz w:val="18"/>
            <w:szCs w:val="18"/>
            <w:lang w:eastAsia="pl-PL"/>
          </w:rPr>
          <w:t>www.unilink.pl</w:t>
        </w:r>
      </w:hyperlink>
      <w:r w:rsidRPr="008724A4">
        <w:rPr>
          <w:rStyle w:val="Hipercze"/>
          <w:rFonts w:asciiTheme="majorHAnsi" w:hAnsiTheme="majorHAnsi" w:cstheme="majorHAnsi"/>
          <w:b/>
          <w:bCs/>
          <w:color w:val="auto"/>
          <w:sz w:val="18"/>
          <w:szCs w:val="18"/>
          <w:u w:val="none"/>
          <w:lang w:eastAsia="pl-PL"/>
        </w:rPr>
        <w:t>.</w:t>
      </w:r>
    </w:p>
    <w:p w14:paraId="18C19C8B" w14:textId="67912729" w:rsidR="00C15739" w:rsidRPr="008724A4" w:rsidRDefault="00C15739" w:rsidP="008724A4">
      <w:pPr>
        <w:pStyle w:val="Nagwek2"/>
        <w:spacing w:before="0" w:beforeAutospacing="0" w:after="0"/>
      </w:pPr>
      <w:r w:rsidRPr="008724A4">
        <w:t>Kontakt dla mediów:</w:t>
      </w:r>
    </w:p>
    <w:p w14:paraId="78D412B0" w14:textId="020A3D59" w:rsidR="00D0448F" w:rsidRPr="008724A4" w:rsidRDefault="00A66DA4" w:rsidP="008724A4">
      <w:pPr>
        <w:spacing w:after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8724A4">
        <w:rPr>
          <w:rFonts w:asciiTheme="majorHAnsi" w:hAnsiTheme="majorHAnsi" w:cstheme="majorHAnsi"/>
          <w:sz w:val="20"/>
          <w:szCs w:val="20"/>
          <w:lang w:eastAsia="pl-PL"/>
        </w:rPr>
        <w:t>LoveBrands Relations</w:t>
      </w:r>
      <w:r w:rsidR="00C15739" w:rsidRPr="008724A4">
        <w:rPr>
          <w:rFonts w:asciiTheme="majorHAnsi" w:hAnsiTheme="majorHAnsi" w:cstheme="majorHAnsi"/>
          <w:sz w:val="20"/>
          <w:szCs w:val="20"/>
          <w:lang w:eastAsia="pl-PL"/>
        </w:rPr>
        <w:t>, Biuro prasowe Unilink S.A.</w:t>
      </w:r>
    </w:p>
    <w:p w14:paraId="58D97A07" w14:textId="4FA865DD" w:rsidR="007779A2" w:rsidRPr="009948F3" w:rsidRDefault="00D0448F" w:rsidP="008724A4">
      <w:pPr>
        <w:spacing w:after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9948F3">
        <w:rPr>
          <w:rFonts w:asciiTheme="majorHAnsi" w:hAnsiTheme="majorHAnsi" w:cstheme="majorHAnsi"/>
          <w:sz w:val="20"/>
          <w:szCs w:val="20"/>
          <w:lang w:eastAsia="pl-PL"/>
        </w:rPr>
        <w:t>E</w:t>
      </w:r>
      <w:r w:rsidR="00D14EC1" w:rsidRPr="009948F3">
        <w:rPr>
          <w:rFonts w:asciiTheme="majorHAnsi" w:hAnsiTheme="majorHAnsi" w:cstheme="majorHAnsi"/>
          <w:sz w:val="20"/>
          <w:szCs w:val="20"/>
          <w:lang w:eastAsia="pl-PL"/>
        </w:rPr>
        <w:t>-mail</w:t>
      </w:r>
      <w:r w:rsidRPr="009948F3">
        <w:rPr>
          <w:rFonts w:asciiTheme="majorHAnsi" w:hAnsiTheme="majorHAnsi" w:cstheme="majorHAnsi"/>
          <w:sz w:val="20"/>
          <w:szCs w:val="20"/>
          <w:lang w:eastAsia="pl-PL"/>
        </w:rPr>
        <w:t xml:space="preserve">: </w:t>
      </w:r>
      <w:hyperlink r:id="rId11" w:history="1">
        <w:r w:rsidR="00F02759" w:rsidRPr="009948F3">
          <w:rPr>
            <w:rStyle w:val="Hipercze"/>
            <w:rFonts w:asciiTheme="majorHAnsi" w:hAnsiTheme="majorHAnsi" w:cstheme="majorHAnsi"/>
            <w:sz w:val="20"/>
            <w:szCs w:val="20"/>
            <w:lang w:eastAsia="pl-PL"/>
          </w:rPr>
          <w:t>unilink@lovebrandsgroup.pl</w:t>
        </w:r>
      </w:hyperlink>
    </w:p>
    <w:p w14:paraId="39FFBEEA" w14:textId="0A58A708" w:rsidR="00F02759" w:rsidRPr="009948F3" w:rsidRDefault="00F02759" w:rsidP="008724A4">
      <w:pPr>
        <w:spacing w:after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60C85EC" w14:textId="297A6210" w:rsidR="00F02759" w:rsidRPr="009948F3" w:rsidRDefault="00F02759" w:rsidP="008724A4">
      <w:pPr>
        <w:spacing w:after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09B00330" w14:textId="793FE08B" w:rsidR="00F02759" w:rsidRDefault="00F02759" w:rsidP="008724A4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2963526" w14:textId="7781C7FF" w:rsidR="00721CAD" w:rsidRDefault="00721CAD" w:rsidP="008724A4">
      <w:pPr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0CC871C" w14:textId="77777777" w:rsidR="00DB4C96" w:rsidRPr="008724A4" w:rsidRDefault="00DB4C96" w:rsidP="008724A4">
      <w:pPr>
        <w:spacing w:after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sectPr w:rsidR="00DB4C96" w:rsidRPr="008724A4" w:rsidSect="00C15739">
      <w:headerReference w:type="default" r:id="rId12"/>
      <w:pgSz w:w="11906" w:h="16838"/>
      <w:pgMar w:top="720" w:right="720" w:bottom="720" w:left="720" w:header="136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2160" w14:textId="77777777" w:rsidR="001A52C7" w:rsidRDefault="001A52C7" w:rsidP="00DB55C0">
      <w:pPr>
        <w:spacing w:after="0" w:line="240" w:lineRule="auto"/>
      </w:pPr>
      <w:r>
        <w:separator/>
      </w:r>
    </w:p>
  </w:endnote>
  <w:endnote w:type="continuationSeparator" w:id="0">
    <w:p w14:paraId="79100C09" w14:textId="77777777" w:rsidR="001A52C7" w:rsidRDefault="001A52C7" w:rsidP="00DB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9E2B" w14:textId="77777777" w:rsidR="001A52C7" w:rsidRDefault="001A52C7" w:rsidP="00DB55C0">
      <w:pPr>
        <w:spacing w:after="0" w:line="240" w:lineRule="auto"/>
      </w:pPr>
      <w:r>
        <w:separator/>
      </w:r>
    </w:p>
  </w:footnote>
  <w:footnote w:type="continuationSeparator" w:id="0">
    <w:p w14:paraId="3B4F3B7E" w14:textId="77777777" w:rsidR="001A52C7" w:rsidRDefault="001A52C7" w:rsidP="00DB55C0">
      <w:pPr>
        <w:spacing w:after="0" w:line="240" w:lineRule="auto"/>
      </w:pPr>
      <w:r>
        <w:continuationSeparator/>
      </w:r>
    </w:p>
  </w:footnote>
  <w:footnote w:id="1">
    <w:p w14:paraId="4F30D352" w14:textId="3EAA79B3" w:rsidR="00F02759" w:rsidRDefault="00F02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B352F">
          <w:rPr>
            <w:rStyle w:val="Hipercze"/>
          </w:rPr>
          <w:t>https://stat.gov.pl/obszary-tematyczne/ceny-handel/wskazniki-cen/wskazniki-cen-towarow-i-uslug-konsumpcyjnych-w-styczniu-2022-roku-dane-wstepne,2,123.html</w:t>
        </w:r>
      </w:hyperlink>
      <w:r>
        <w:t xml:space="preserve"> </w:t>
      </w:r>
    </w:p>
  </w:footnote>
  <w:footnote w:id="2">
    <w:p w14:paraId="32929038" w14:textId="1812DB7D" w:rsidR="00F02759" w:rsidRDefault="00F027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4B352F">
          <w:rPr>
            <w:rStyle w:val="Hipercze"/>
          </w:rPr>
          <w:t>https://www.ure.gov.pl/pl/urzad/informacje-ogolne/aktualnosci/9963,Od-stycznia-za-prad-zaplacimy-o-21-zl-wiecej.html</w:t>
        </w:r>
      </w:hyperlink>
      <w:r>
        <w:t xml:space="preserve"> </w:t>
      </w:r>
    </w:p>
  </w:footnote>
  <w:footnote w:id="3">
    <w:p w14:paraId="6077232E" w14:textId="4B864E7F" w:rsidR="00C52062" w:rsidRDefault="00C520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4B352F">
          <w:rPr>
            <w:rStyle w:val="Hipercze"/>
          </w:rPr>
          <w:t>https://www.samar.pl/__/3/3.a/114093/3.sc/11/Raport-cenowy---stycze%C5%84-2022.html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3703" w14:textId="366865B7" w:rsidR="00DB55C0" w:rsidRDefault="00900F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49790" wp14:editId="1D4CB51D">
          <wp:simplePos x="0" y="0"/>
          <wp:positionH relativeFrom="margin">
            <wp:align>right</wp:align>
          </wp:positionH>
          <wp:positionV relativeFrom="paragraph">
            <wp:posOffset>-568960</wp:posOffset>
          </wp:positionV>
          <wp:extent cx="1382395" cy="480060"/>
          <wp:effectExtent l="0" t="0" r="8255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F2"/>
    <w:multiLevelType w:val="hybridMultilevel"/>
    <w:tmpl w:val="EA8A63D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681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A6D"/>
    <w:multiLevelType w:val="hybridMultilevel"/>
    <w:tmpl w:val="B2BE918A"/>
    <w:lvl w:ilvl="0" w:tplc="7546A400">
      <w:start w:val="1"/>
      <w:numFmt w:val="decimal"/>
      <w:lvlText w:val="%1."/>
      <w:lvlJc w:val="center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E5"/>
    <w:multiLevelType w:val="hybridMultilevel"/>
    <w:tmpl w:val="78D8560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469E"/>
    <w:multiLevelType w:val="hybridMultilevel"/>
    <w:tmpl w:val="9E521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5C33"/>
    <w:multiLevelType w:val="hybridMultilevel"/>
    <w:tmpl w:val="7AD4B078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690F"/>
    <w:multiLevelType w:val="hybridMultilevel"/>
    <w:tmpl w:val="44FAB8C4"/>
    <w:lvl w:ilvl="0" w:tplc="57A00E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40CD"/>
    <w:multiLevelType w:val="hybridMultilevel"/>
    <w:tmpl w:val="6ECCE91E"/>
    <w:lvl w:ilvl="0" w:tplc="93BAD4D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52C7E"/>
    <w:multiLevelType w:val="hybridMultilevel"/>
    <w:tmpl w:val="1D22F196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B1CE1"/>
    <w:multiLevelType w:val="multilevel"/>
    <w:tmpl w:val="4CF49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BA45533"/>
    <w:multiLevelType w:val="hybridMultilevel"/>
    <w:tmpl w:val="E31E8CDC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6E52"/>
    <w:multiLevelType w:val="hybridMultilevel"/>
    <w:tmpl w:val="8F9A77D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50283"/>
    <w:multiLevelType w:val="hybridMultilevel"/>
    <w:tmpl w:val="3F14373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B402D"/>
    <w:multiLevelType w:val="hybridMultilevel"/>
    <w:tmpl w:val="A250742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F2561"/>
    <w:multiLevelType w:val="hybridMultilevel"/>
    <w:tmpl w:val="9CEA60FE"/>
    <w:lvl w:ilvl="0" w:tplc="3EA0C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92700"/>
    <w:multiLevelType w:val="hybridMultilevel"/>
    <w:tmpl w:val="0F6C1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15C93"/>
    <w:multiLevelType w:val="hybridMultilevel"/>
    <w:tmpl w:val="DB2A81C0"/>
    <w:lvl w:ilvl="0" w:tplc="11E4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A1CC2"/>
    <w:multiLevelType w:val="hybridMultilevel"/>
    <w:tmpl w:val="D5DE58A4"/>
    <w:lvl w:ilvl="0" w:tplc="902A0DB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53E82"/>
    <w:multiLevelType w:val="hybridMultilevel"/>
    <w:tmpl w:val="6CDEE8F8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565C5"/>
    <w:multiLevelType w:val="hybridMultilevel"/>
    <w:tmpl w:val="116CA994"/>
    <w:lvl w:ilvl="0" w:tplc="E5BE54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764258"/>
    <w:multiLevelType w:val="hybridMultilevel"/>
    <w:tmpl w:val="0F6C1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C6390"/>
    <w:multiLevelType w:val="hybridMultilevel"/>
    <w:tmpl w:val="7042350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82A9E"/>
    <w:multiLevelType w:val="hybridMultilevel"/>
    <w:tmpl w:val="68DEA0E2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82609"/>
    <w:multiLevelType w:val="hybridMultilevel"/>
    <w:tmpl w:val="BC14E61C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D57D35"/>
    <w:multiLevelType w:val="hybridMultilevel"/>
    <w:tmpl w:val="33D6E2AE"/>
    <w:lvl w:ilvl="0" w:tplc="66F2E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6"/>
  </w:num>
  <w:num w:numId="5">
    <w:abstractNumId w:val="12"/>
  </w:num>
  <w:num w:numId="6">
    <w:abstractNumId w:val="1"/>
  </w:num>
  <w:num w:numId="7">
    <w:abstractNumId w:val="6"/>
  </w:num>
  <w:num w:numId="8">
    <w:abstractNumId w:val="2"/>
  </w:num>
  <w:num w:numId="9">
    <w:abstractNumId w:val="18"/>
  </w:num>
  <w:num w:numId="10">
    <w:abstractNumId w:val="7"/>
  </w:num>
  <w:num w:numId="11">
    <w:abstractNumId w:val="17"/>
  </w:num>
  <w:num w:numId="12">
    <w:abstractNumId w:val="22"/>
  </w:num>
  <w:num w:numId="13">
    <w:abstractNumId w:val="15"/>
  </w:num>
  <w:num w:numId="14">
    <w:abstractNumId w:val="23"/>
  </w:num>
  <w:num w:numId="15">
    <w:abstractNumId w:val="13"/>
  </w:num>
  <w:num w:numId="16">
    <w:abstractNumId w:val="11"/>
  </w:num>
  <w:num w:numId="17">
    <w:abstractNumId w:val="10"/>
  </w:num>
  <w:num w:numId="18">
    <w:abstractNumId w:val="4"/>
  </w:num>
  <w:num w:numId="19">
    <w:abstractNumId w:val="0"/>
  </w:num>
  <w:num w:numId="20">
    <w:abstractNumId w:val="9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0"/>
    <w:rsid w:val="00003F11"/>
    <w:rsid w:val="00010FB9"/>
    <w:rsid w:val="00010FCF"/>
    <w:rsid w:val="000172EE"/>
    <w:rsid w:val="00017DE5"/>
    <w:rsid w:val="00021CA5"/>
    <w:rsid w:val="000221EE"/>
    <w:rsid w:val="00023809"/>
    <w:rsid w:val="00030CD6"/>
    <w:rsid w:val="00036DBA"/>
    <w:rsid w:val="00040F7F"/>
    <w:rsid w:val="000447CD"/>
    <w:rsid w:val="0005269B"/>
    <w:rsid w:val="00054A5F"/>
    <w:rsid w:val="000567BE"/>
    <w:rsid w:val="00056E02"/>
    <w:rsid w:val="00061D5A"/>
    <w:rsid w:val="00070E7D"/>
    <w:rsid w:val="00072F50"/>
    <w:rsid w:val="00075B0F"/>
    <w:rsid w:val="000930B3"/>
    <w:rsid w:val="00094C14"/>
    <w:rsid w:val="000953E9"/>
    <w:rsid w:val="00096342"/>
    <w:rsid w:val="00096DD6"/>
    <w:rsid w:val="000A20C1"/>
    <w:rsid w:val="000A28B8"/>
    <w:rsid w:val="000A2E81"/>
    <w:rsid w:val="000A4597"/>
    <w:rsid w:val="000B39E5"/>
    <w:rsid w:val="000B51E9"/>
    <w:rsid w:val="000B6383"/>
    <w:rsid w:val="000B7338"/>
    <w:rsid w:val="000C0C9A"/>
    <w:rsid w:val="000C344D"/>
    <w:rsid w:val="000C3EC6"/>
    <w:rsid w:val="000C4ADA"/>
    <w:rsid w:val="000D16B1"/>
    <w:rsid w:val="000E002D"/>
    <w:rsid w:val="000E260B"/>
    <w:rsid w:val="000E37FD"/>
    <w:rsid w:val="000E50C1"/>
    <w:rsid w:val="000E6C25"/>
    <w:rsid w:val="000F05F7"/>
    <w:rsid w:val="000F2D8D"/>
    <w:rsid w:val="000F5FF0"/>
    <w:rsid w:val="00100E74"/>
    <w:rsid w:val="00107093"/>
    <w:rsid w:val="00110CC7"/>
    <w:rsid w:val="0011441B"/>
    <w:rsid w:val="001175EC"/>
    <w:rsid w:val="00120BE2"/>
    <w:rsid w:val="00123DC6"/>
    <w:rsid w:val="00134FB2"/>
    <w:rsid w:val="0013752C"/>
    <w:rsid w:val="00151D7E"/>
    <w:rsid w:val="00153C1A"/>
    <w:rsid w:val="00154295"/>
    <w:rsid w:val="00154984"/>
    <w:rsid w:val="00155566"/>
    <w:rsid w:val="001648E2"/>
    <w:rsid w:val="00170111"/>
    <w:rsid w:val="00170D91"/>
    <w:rsid w:val="0017183B"/>
    <w:rsid w:val="001721FD"/>
    <w:rsid w:val="001729A8"/>
    <w:rsid w:val="001760A4"/>
    <w:rsid w:val="00182EDC"/>
    <w:rsid w:val="001841FB"/>
    <w:rsid w:val="00187030"/>
    <w:rsid w:val="00192D74"/>
    <w:rsid w:val="00193798"/>
    <w:rsid w:val="00195CC9"/>
    <w:rsid w:val="0019650F"/>
    <w:rsid w:val="001A18B0"/>
    <w:rsid w:val="001A52AE"/>
    <w:rsid w:val="001A52C7"/>
    <w:rsid w:val="001B09F0"/>
    <w:rsid w:val="001C1B09"/>
    <w:rsid w:val="001C1D3E"/>
    <w:rsid w:val="001C45C6"/>
    <w:rsid w:val="001C58FF"/>
    <w:rsid w:val="001C7D02"/>
    <w:rsid w:val="001E2C53"/>
    <w:rsid w:val="001E71F8"/>
    <w:rsid w:val="001F0180"/>
    <w:rsid w:val="001F5DA8"/>
    <w:rsid w:val="001F739A"/>
    <w:rsid w:val="00203ED0"/>
    <w:rsid w:val="002116D4"/>
    <w:rsid w:val="00212021"/>
    <w:rsid w:val="00212D8D"/>
    <w:rsid w:val="0021321B"/>
    <w:rsid w:val="002134A9"/>
    <w:rsid w:val="002134E8"/>
    <w:rsid w:val="002141D1"/>
    <w:rsid w:val="002164D7"/>
    <w:rsid w:val="0022425C"/>
    <w:rsid w:val="00225EA6"/>
    <w:rsid w:val="00226F37"/>
    <w:rsid w:val="002274B4"/>
    <w:rsid w:val="00232672"/>
    <w:rsid w:val="002339BB"/>
    <w:rsid w:val="002346A3"/>
    <w:rsid w:val="00241982"/>
    <w:rsid w:val="002423FC"/>
    <w:rsid w:val="00243D27"/>
    <w:rsid w:val="002446A4"/>
    <w:rsid w:val="0024501B"/>
    <w:rsid w:val="00255B99"/>
    <w:rsid w:val="00255FC1"/>
    <w:rsid w:val="00261B4A"/>
    <w:rsid w:val="00263BD9"/>
    <w:rsid w:val="00270E07"/>
    <w:rsid w:val="0027494D"/>
    <w:rsid w:val="00282112"/>
    <w:rsid w:val="00283440"/>
    <w:rsid w:val="0028479D"/>
    <w:rsid w:val="00287B6A"/>
    <w:rsid w:val="00293C48"/>
    <w:rsid w:val="00295B9E"/>
    <w:rsid w:val="002977ED"/>
    <w:rsid w:val="002A09ED"/>
    <w:rsid w:val="002A1B1A"/>
    <w:rsid w:val="002B106D"/>
    <w:rsid w:val="002B1279"/>
    <w:rsid w:val="002B16DA"/>
    <w:rsid w:val="002B3439"/>
    <w:rsid w:val="002B542B"/>
    <w:rsid w:val="002B5804"/>
    <w:rsid w:val="002C01AE"/>
    <w:rsid w:val="002C5F42"/>
    <w:rsid w:val="002C6710"/>
    <w:rsid w:val="002D4392"/>
    <w:rsid w:val="002E14E0"/>
    <w:rsid w:val="002E6F43"/>
    <w:rsid w:val="002E7C83"/>
    <w:rsid w:val="003005C6"/>
    <w:rsid w:val="00304310"/>
    <w:rsid w:val="0031035A"/>
    <w:rsid w:val="00312195"/>
    <w:rsid w:val="0031592F"/>
    <w:rsid w:val="0031700C"/>
    <w:rsid w:val="00320C53"/>
    <w:rsid w:val="003219D6"/>
    <w:rsid w:val="003316D5"/>
    <w:rsid w:val="00331BC9"/>
    <w:rsid w:val="00333CCE"/>
    <w:rsid w:val="00336FE6"/>
    <w:rsid w:val="0034672A"/>
    <w:rsid w:val="00347AF6"/>
    <w:rsid w:val="00352001"/>
    <w:rsid w:val="00352AB6"/>
    <w:rsid w:val="00356DEF"/>
    <w:rsid w:val="003609D5"/>
    <w:rsid w:val="003629F0"/>
    <w:rsid w:val="00366541"/>
    <w:rsid w:val="003667B1"/>
    <w:rsid w:val="00371B73"/>
    <w:rsid w:val="00372742"/>
    <w:rsid w:val="003804BF"/>
    <w:rsid w:val="00380FD0"/>
    <w:rsid w:val="0038266C"/>
    <w:rsid w:val="0038286C"/>
    <w:rsid w:val="00386973"/>
    <w:rsid w:val="003912F5"/>
    <w:rsid w:val="00391C82"/>
    <w:rsid w:val="00393071"/>
    <w:rsid w:val="00393D40"/>
    <w:rsid w:val="003A0A8C"/>
    <w:rsid w:val="003A1E42"/>
    <w:rsid w:val="003A4561"/>
    <w:rsid w:val="003A522B"/>
    <w:rsid w:val="003B6C7D"/>
    <w:rsid w:val="003C0BE2"/>
    <w:rsid w:val="003C2F49"/>
    <w:rsid w:val="003D13CB"/>
    <w:rsid w:val="003D3E6A"/>
    <w:rsid w:val="003E0177"/>
    <w:rsid w:val="003E04E1"/>
    <w:rsid w:val="003E4880"/>
    <w:rsid w:val="003F05B5"/>
    <w:rsid w:val="003F0657"/>
    <w:rsid w:val="003F1BA5"/>
    <w:rsid w:val="00406670"/>
    <w:rsid w:val="00413761"/>
    <w:rsid w:val="004154B2"/>
    <w:rsid w:val="00416092"/>
    <w:rsid w:val="00417B80"/>
    <w:rsid w:val="0042088B"/>
    <w:rsid w:val="00430B1B"/>
    <w:rsid w:val="004363F5"/>
    <w:rsid w:val="00437A77"/>
    <w:rsid w:val="00444EE6"/>
    <w:rsid w:val="00451DDA"/>
    <w:rsid w:val="00451F34"/>
    <w:rsid w:val="00453CA0"/>
    <w:rsid w:val="0045584B"/>
    <w:rsid w:val="00460C05"/>
    <w:rsid w:val="004712B7"/>
    <w:rsid w:val="00473282"/>
    <w:rsid w:val="00474E44"/>
    <w:rsid w:val="004821E8"/>
    <w:rsid w:val="004823B6"/>
    <w:rsid w:val="00482C01"/>
    <w:rsid w:val="004903A2"/>
    <w:rsid w:val="0049428B"/>
    <w:rsid w:val="004A1591"/>
    <w:rsid w:val="004A1C6C"/>
    <w:rsid w:val="004A3431"/>
    <w:rsid w:val="004A3CC3"/>
    <w:rsid w:val="004A5FB6"/>
    <w:rsid w:val="004A61E8"/>
    <w:rsid w:val="004A74C9"/>
    <w:rsid w:val="004C0B16"/>
    <w:rsid w:val="004C2F21"/>
    <w:rsid w:val="004C38CA"/>
    <w:rsid w:val="004C5DF4"/>
    <w:rsid w:val="004E4149"/>
    <w:rsid w:val="004F06B0"/>
    <w:rsid w:val="004F2363"/>
    <w:rsid w:val="004F2F47"/>
    <w:rsid w:val="004F7242"/>
    <w:rsid w:val="00500E37"/>
    <w:rsid w:val="00501936"/>
    <w:rsid w:val="00506B66"/>
    <w:rsid w:val="005076DF"/>
    <w:rsid w:val="00516F7E"/>
    <w:rsid w:val="00530A97"/>
    <w:rsid w:val="005310AA"/>
    <w:rsid w:val="0053436C"/>
    <w:rsid w:val="00534EE3"/>
    <w:rsid w:val="00535962"/>
    <w:rsid w:val="00540F35"/>
    <w:rsid w:val="00551EE2"/>
    <w:rsid w:val="00552778"/>
    <w:rsid w:val="0055504C"/>
    <w:rsid w:val="00555F79"/>
    <w:rsid w:val="00565622"/>
    <w:rsid w:val="0056769B"/>
    <w:rsid w:val="005742D3"/>
    <w:rsid w:val="00584C1B"/>
    <w:rsid w:val="00585657"/>
    <w:rsid w:val="00586702"/>
    <w:rsid w:val="0059022E"/>
    <w:rsid w:val="00593947"/>
    <w:rsid w:val="005953CE"/>
    <w:rsid w:val="005957E3"/>
    <w:rsid w:val="00595854"/>
    <w:rsid w:val="005A2FE6"/>
    <w:rsid w:val="005A4AF3"/>
    <w:rsid w:val="005B03B1"/>
    <w:rsid w:val="005C4EB1"/>
    <w:rsid w:val="005C780A"/>
    <w:rsid w:val="005D5D12"/>
    <w:rsid w:val="005E71B1"/>
    <w:rsid w:val="005F7C75"/>
    <w:rsid w:val="00600CEA"/>
    <w:rsid w:val="00601E0E"/>
    <w:rsid w:val="006023EC"/>
    <w:rsid w:val="006025F7"/>
    <w:rsid w:val="006177A7"/>
    <w:rsid w:val="00617CE1"/>
    <w:rsid w:val="006264EB"/>
    <w:rsid w:val="0062650D"/>
    <w:rsid w:val="006314EE"/>
    <w:rsid w:val="00651183"/>
    <w:rsid w:val="00652CC6"/>
    <w:rsid w:val="00655775"/>
    <w:rsid w:val="00666A13"/>
    <w:rsid w:val="00667060"/>
    <w:rsid w:val="00673C76"/>
    <w:rsid w:val="00677220"/>
    <w:rsid w:val="00680A65"/>
    <w:rsid w:val="00681080"/>
    <w:rsid w:val="00685E5D"/>
    <w:rsid w:val="006875CA"/>
    <w:rsid w:val="0069057C"/>
    <w:rsid w:val="00690F85"/>
    <w:rsid w:val="006925F8"/>
    <w:rsid w:val="00694F04"/>
    <w:rsid w:val="006955E5"/>
    <w:rsid w:val="00696F3C"/>
    <w:rsid w:val="006A0AB1"/>
    <w:rsid w:val="006A548B"/>
    <w:rsid w:val="006B4A99"/>
    <w:rsid w:val="006C50AB"/>
    <w:rsid w:val="006E2F8A"/>
    <w:rsid w:val="006F4214"/>
    <w:rsid w:val="006F704C"/>
    <w:rsid w:val="007033F7"/>
    <w:rsid w:val="00706703"/>
    <w:rsid w:val="00712297"/>
    <w:rsid w:val="00721CAD"/>
    <w:rsid w:val="00724AA2"/>
    <w:rsid w:val="00727928"/>
    <w:rsid w:val="0073257B"/>
    <w:rsid w:val="007329C3"/>
    <w:rsid w:val="00734BC0"/>
    <w:rsid w:val="007372F9"/>
    <w:rsid w:val="00740C3B"/>
    <w:rsid w:val="00744C0C"/>
    <w:rsid w:val="007470F6"/>
    <w:rsid w:val="00750FE9"/>
    <w:rsid w:val="00761B90"/>
    <w:rsid w:val="007633DB"/>
    <w:rsid w:val="007665CB"/>
    <w:rsid w:val="00772D23"/>
    <w:rsid w:val="007779A2"/>
    <w:rsid w:val="00783127"/>
    <w:rsid w:val="00786EF4"/>
    <w:rsid w:val="00790D93"/>
    <w:rsid w:val="00792639"/>
    <w:rsid w:val="007935AC"/>
    <w:rsid w:val="00797737"/>
    <w:rsid w:val="007A5281"/>
    <w:rsid w:val="007A62E5"/>
    <w:rsid w:val="007A6B5E"/>
    <w:rsid w:val="007B6DB8"/>
    <w:rsid w:val="007B7F04"/>
    <w:rsid w:val="007C10EB"/>
    <w:rsid w:val="007C2B48"/>
    <w:rsid w:val="007C3ADB"/>
    <w:rsid w:val="007D38AC"/>
    <w:rsid w:val="007E1685"/>
    <w:rsid w:val="007E367B"/>
    <w:rsid w:val="007E7308"/>
    <w:rsid w:val="007F3AC7"/>
    <w:rsid w:val="007F51ED"/>
    <w:rsid w:val="007F5FE8"/>
    <w:rsid w:val="00800FC4"/>
    <w:rsid w:val="00801A2F"/>
    <w:rsid w:val="00801FBC"/>
    <w:rsid w:val="008119B4"/>
    <w:rsid w:val="0081466D"/>
    <w:rsid w:val="00820C89"/>
    <w:rsid w:val="008232D6"/>
    <w:rsid w:val="00824A34"/>
    <w:rsid w:val="00834DD8"/>
    <w:rsid w:val="008372EC"/>
    <w:rsid w:val="008373E0"/>
    <w:rsid w:val="00842566"/>
    <w:rsid w:val="008432F8"/>
    <w:rsid w:val="00843798"/>
    <w:rsid w:val="008445A9"/>
    <w:rsid w:val="00845B4B"/>
    <w:rsid w:val="00855422"/>
    <w:rsid w:val="00855CDD"/>
    <w:rsid w:val="00864F7D"/>
    <w:rsid w:val="00867E29"/>
    <w:rsid w:val="00871265"/>
    <w:rsid w:val="008724A4"/>
    <w:rsid w:val="00881C88"/>
    <w:rsid w:val="008839D8"/>
    <w:rsid w:val="00891D9F"/>
    <w:rsid w:val="008B298C"/>
    <w:rsid w:val="008B6105"/>
    <w:rsid w:val="008C0571"/>
    <w:rsid w:val="008C41F3"/>
    <w:rsid w:val="008C52CE"/>
    <w:rsid w:val="008C565C"/>
    <w:rsid w:val="008C57A1"/>
    <w:rsid w:val="008C5E77"/>
    <w:rsid w:val="008C6F82"/>
    <w:rsid w:val="008D3164"/>
    <w:rsid w:val="008D62F0"/>
    <w:rsid w:val="008F11E9"/>
    <w:rsid w:val="00900F95"/>
    <w:rsid w:val="0091445A"/>
    <w:rsid w:val="00925CE3"/>
    <w:rsid w:val="009321FB"/>
    <w:rsid w:val="0093667F"/>
    <w:rsid w:val="009370ED"/>
    <w:rsid w:val="00937B5F"/>
    <w:rsid w:val="009477E7"/>
    <w:rsid w:val="0095247A"/>
    <w:rsid w:val="0095703E"/>
    <w:rsid w:val="009577E6"/>
    <w:rsid w:val="00963FC6"/>
    <w:rsid w:val="009652C3"/>
    <w:rsid w:val="00965FBA"/>
    <w:rsid w:val="00967867"/>
    <w:rsid w:val="00973DFD"/>
    <w:rsid w:val="00974B89"/>
    <w:rsid w:val="0097544B"/>
    <w:rsid w:val="0097596B"/>
    <w:rsid w:val="00975E5A"/>
    <w:rsid w:val="00976980"/>
    <w:rsid w:val="00980115"/>
    <w:rsid w:val="00982BC8"/>
    <w:rsid w:val="00984329"/>
    <w:rsid w:val="00985210"/>
    <w:rsid w:val="0099251C"/>
    <w:rsid w:val="009948F3"/>
    <w:rsid w:val="009A189F"/>
    <w:rsid w:val="009A2710"/>
    <w:rsid w:val="009A30FE"/>
    <w:rsid w:val="009A4AA3"/>
    <w:rsid w:val="009B3037"/>
    <w:rsid w:val="009B382C"/>
    <w:rsid w:val="009B549A"/>
    <w:rsid w:val="009C1111"/>
    <w:rsid w:val="009C3E58"/>
    <w:rsid w:val="009C7AC3"/>
    <w:rsid w:val="009D3F35"/>
    <w:rsid w:val="009D5E45"/>
    <w:rsid w:val="009E4FD9"/>
    <w:rsid w:val="009E5EDC"/>
    <w:rsid w:val="009F33ED"/>
    <w:rsid w:val="009F3852"/>
    <w:rsid w:val="00A03E90"/>
    <w:rsid w:val="00A051DD"/>
    <w:rsid w:val="00A13B79"/>
    <w:rsid w:val="00A15132"/>
    <w:rsid w:val="00A16E9F"/>
    <w:rsid w:val="00A27776"/>
    <w:rsid w:val="00A30ED7"/>
    <w:rsid w:val="00A42F67"/>
    <w:rsid w:val="00A50037"/>
    <w:rsid w:val="00A52D03"/>
    <w:rsid w:val="00A61E38"/>
    <w:rsid w:val="00A62601"/>
    <w:rsid w:val="00A64B01"/>
    <w:rsid w:val="00A65E1E"/>
    <w:rsid w:val="00A65F86"/>
    <w:rsid w:val="00A66310"/>
    <w:rsid w:val="00A66DA4"/>
    <w:rsid w:val="00A7386A"/>
    <w:rsid w:val="00A76C4E"/>
    <w:rsid w:val="00A80CB1"/>
    <w:rsid w:val="00A80D2F"/>
    <w:rsid w:val="00A82A44"/>
    <w:rsid w:val="00A85FB9"/>
    <w:rsid w:val="00A925C1"/>
    <w:rsid w:val="00AB6D38"/>
    <w:rsid w:val="00AC57A9"/>
    <w:rsid w:val="00AC6E64"/>
    <w:rsid w:val="00AC7780"/>
    <w:rsid w:val="00AC7F9F"/>
    <w:rsid w:val="00AD5F71"/>
    <w:rsid w:val="00AE372B"/>
    <w:rsid w:val="00AE689B"/>
    <w:rsid w:val="00AE7011"/>
    <w:rsid w:val="00AF470D"/>
    <w:rsid w:val="00AF4D2E"/>
    <w:rsid w:val="00AF75AA"/>
    <w:rsid w:val="00B00462"/>
    <w:rsid w:val="00B02E98"/>
    <w:rsid w:val="00B051A8"/>
    <w:rsid w:val="00B10D8E"/>
    <w:rsid w:val="00B14C78"/>
    <w:rsid w:val="00B152CE"/>
    <w:rsid w:val="00B16CE1"/>
    <w:rsid w:val="00B17467"/>
    <w:rsid w:val="00B203BE"/>
    <w:rsid w:val="00B247E5"/>
    <w:rsid w:val="00B468A9"/>
    <w:rsid w:val="00B529BE"/>
    <w:rsid w:val="00B53501"/>
    <w:rsid w:val="00B63A59"/>
    <w:rsid w:val="00B66D9C"/>
    <w:rsid w:val="00B72088"/>
    <w:rsid w:val="00B7767A"/>
    <w:rsid w:val="00B816B5"/>
    <w:rsid w:val="00B8472B"/>
    <w:rsid w:val="00B85FBB"/>
    <w:rsid w:val="00B86AE6"/>
    <w:rsid w:val="00B9133A"/>
    <w:rsid w:val="00B9266C"/>
    <w:rsid w:val="00BB01BD"/>
    <w:rsid w:val="00BC1F01"/>
    <w:rsid w:val="00BC3A5A"/>
    <w:rsid w:val="00BC4D00"/>
    <w:rsid w:val="00BD386D"/>
    <w:rsid w:val="00BE4CE3"/>
    <w:rsid w:val="00BE614F"/>
    <w:rsid w:val="00BE7F84"/>
    <w:rsid w:val="00BF05A6"/>
    <w:rsid w:val="00BF174C"/>
    <w:rsid w:val="00BF4FA7"/>
    <w:rsid w:val="00BF733E"/>
    <w:rsid w:val="00C0025B"/>
    <w:rsid w:val="00C04B4D"/>
    <w:rsid w:val="00C05547"/>
    <w:rsid w:val="00C07F52"/>
    <w:rsid w:val="00C105C5"/>
    <w:rsid w:val="00C124AD"/>
    <w:rsid w:val="00C15739"/>
    <w:rsid w:val="00C26E46"/>
    <w:rsid w:val="00C31FF5"/>
    <w:rsid w:val="00C32B37"/>
    <w:rsid w:val="00C426A1"/>
    <w:rsid w:val="00C4528A"/>
    <w:rsid w:val="00C474CB"/>
    <w:rsid w:val="00C47C48"/>
    <w:rsid w:val="00C50926"/>
    <w:rsid w:val="00C52062"/>
    <w:rsid w:val="00C52137"/>
    <w:rsid w:val="00C52CAD"/>
    <w:rsid w:val="00C5624E"/>
    <w:rsid w:val="00C5662F"/>
    <w:rsid w:val="00C61D04"/>
    <w:rsid w:val="00C6291C"/>
    <w:rsid w:val="00C62BB2"/>
    <w:rsid w:val="00C64243"/>
    <w:rsid w:val="00C735C8"/>
    <w:rsid w:val="00C73BAD"/>
    <w:rsid w:val="00C74CA6"/>
    <w:rsid w:val="00C80945"/>
    <w:rsid w:val="00C82F30"/>
    <w:rsid w:val="00C87A77"/>
    <w:rsid w:val="00C90C37"/>
    <w:rsid w:val="00C928AF"/>
    <w:rsid w:val="00C9466C"/>
    <w:rsid w:val="00CA00A1"/>
    <w:rsid w:val="00CC64A3"/>
    <w:rsid w:val="00CD74F6"/>
    <w:rsid w:val="00CD755D"/>
    <w:rsid w:val="00CE7311"/>
    <w:rsid w:val="00CE735E"/>
    <w:rsid w:val="00CF78DF"/>
    <w:rsid w:val="00D0448F"/>
    <w:rsid w:val="00D1074A"/>
    <w:rsid w:val="00D13282"/>
    <w:rsid w:val="00D14EC1"/>
    <w:rsid w:val="00D1581B"/>
    <w:rsid w:val="00D2708E"/>
    <w:rsid w:val="00D30595"/>
    <w:rsid w:val="00D33D80"/>
    <w:rsid w:val="00D35C50"/>
    <w:rsid w:val="00D408D4"/>
    <w:rsid w:val="00D470CC"/>
    <w:rsid w:val="00D51E53"/>
    <w:rsid w:val="00D54A84"/>
    <w:rsid w:val="00D5608F"/>
    <w:rsid w:val="00D64CE2"/>
    <w:rsid w:val="00D71A66"/>
    <w:rsid w:val="00D7543F"/>
    <w:rsid w:val="00D75650"/>
    <w:rsid w:val="00D77170"/>
    <w:rsid w:val="00D83172"/>
    <w:rsid w:val="00D848B5"/>
    <w:rsid w:val="00D85FE5"/>
    <w:rsid w:val="00D93B13"/>
    <w:rsid w:val="00DA7DBB"/>
    <w:rsid w:val="00DB2248"/>
    <w:rsid w:val="00DB3B68"/>
    <w:rsid w:val="00DB4C96"/>
    <w:rsid w:val="00DB55C0"/>
    <w:rsid w:val="00DB6C30"/>
    <w:rsid w:val="00DC168A"/>
    <w:rsid w:val="00DC798F"/>
    <w:rsid w:val="00DD2127"/>
    <w:rsid w:val="00DD6151"/>
    <w:rsid w:val="00DD768F"/>
    <w:rsid w:val="00DD7C3D"/>
    <w:rsid w:val="00DE0556"/>
    <w:rsid w:val="00DE176D"/>
    <w:rsid w:val="00DE5302"/>
    <w:rsid w:val="00DE56C6"/>
    <w:rsid w:val="00DE6481"/>
    <w:rsid w:val="00DF2E1F"/>
    <w:rsid w:val="00DF6FD9"/>
    <w:rsid w:val="00E023AA"/>
    <w:rsid w:val="00E02CFF"/>
    <w:rsid w:val="00E101BE"/>
    <w:rsid w:val="00E10B67"/>
    <w:rsid w:val="00E21219"/>
    <w:rsid w:val="00E32B42"/>
    <w:rsid w:val="00E32D1A"/>
    <w:rsid w:val="00E4065A"/>
    <w:rsid w:val="00E4364E"/>
    <w:rsid w:val="00E57812"/>
    <w:rsid w:val="00E605DB"/>
    <w:rsid w:val="00E61998"/>
    <w:rsid w:val="00E622F3"/>
    <w:rsid w:val="00E66501"/>
    <w:rsid w:val="00E66775"/>
    <w:rsid w:val="00E73FB4"/>
    <w:rsid w:val="00E8209E"/>
    <w:rsid w:val="00E903EB"/>
    <w:rsid w:val="00E92E51"/>
    <w:rsid w:val="00E96855"/>
    <w:rsid w:val="00EA27C7"/>
    <w:rsid w:val="00EA4EB2"/>
    <w:rsid w:val="00EA5013"/>
    <w:rsid w:val="00EB0126"/>
    <w:rsid w:val="00EB143E"/>
    <w:rsid w:val="00EB7477"/>
    <w:rsid w:val="00EC0129"/>
    <w:rsid w:val="00EC0233"/>
    <w:rsid w:val="00EC3A65"/>
    <w:rsid w:val="00EC7207"/>
    <w:rsid w:val="00ED18D7"/>
    <w:rsid w:val="00EE50CF"/>
    <w:rsid w:val="00EF05A7"/>
    <w:rsid w:val="00EF4A85"/>
    <w:rsid w:val="00EF6687"/>
    <w:rsid w:val="00F01819"/>
    <w:rsid w:val="00F02759"/>
    <w:rsid w:val="00F04A39"/>
    <w:rsid w:val="00F12B37"/>
    <w:rsid w:val="00F17529"/>
    <w:rsid w:val="00F2066A"/>
    <w:rsid w:val="00F22E41"/>
    <w:rsid w:val="00F247DA"/>
    <w:rsid w:val="00F253C6"/>
    <w:rsid w:val="00F35731"/>
    <w:rsid w:val="00F4368B"/>
    <w:rsid w:val="00F44069"/>
    <w:rsid w:val="00F622F3"/>
    <w:rsid w:val="00F63E84"/>
    <w:rsid w:val="00F65093"/>
    <w:rsid w:val="00F67974"/>
    <w:rsid w:val="00F71322"/>
    <w:rsid w:val="00F71F7D"/>
    <w:rsid w:val="00F801BD"/>
    <w:rsid w:val="00F8189F"/>
    <w:rsid w:val="00F84FE8"/>
    <w:rsid w:val="00F90DE3"/>
    <w:rsid w:val="00F93F6F"/>
    <w:rsid w:val="00F97D9C"/>
    <w:rsid w:val="00FB2BDB"/>
    <w:rsid w:val="00FB58A8"/>
    <w:rsid w:val="00FC0FD0"/>
    <w:rsid w:val="00FC1B64"/>
    <w:rsid w:val="00FC1F84"/>
    <w:rsid w:val="00FC4B83"/>
    <w:rsid w:val="00FC69AF"/>
    <w:rsid w:val="00FD2044"/>
    <w:rsid w:val="00FD35C0"/>
    <w:rsid w:val="00FE1FC4"/>
    <w:rsid w:val="00FE5E9F"/>
    <w:rsid w:val="00FE6CF1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1855"/>
  <w15:chartTrackingRefBased/>
  <w15:docId w15:val="{DB44FDAD-8B06-4D53-87FF-D32C8FA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7C7"/>
  </w:style>
  <w:style w:type="paragraph" w:styleId="Nagwek1">
    <w:name w:val="heading 1"/>
    <w:basedOn w:val="Normalny"/>
    <w:next w:val="Normalny"/>
    <w:link w:val="Nagwek1Znak"/>
    <w:uiPriority w:val="9"/>
    <w:qFormat/>
    <w:rsid w:val="00685E5D"/>
    <w:pPr>
      <w:spacing w:before="100" w:beforeAutospacing="1" w:after="120" w:line="240" w:lineRule="auto"/>
      <w:outlineLvl w:val="0"/>
    </w:pPr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685E5D"/>
    <w:pPr>
      <w:spacing w:after="60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C0"/>
    <w:pPr>
      <w:ind w:left="720"/>
      <w:contextualSpacing/>
    </w:pPr>
  </w:style>
  <w:style w:type="table" w:styleId="Tabela-Siatka">
    <w:name w:val="Table Grid"/>
    <w:basedOn w:val="Standardowy"/>
    <w:uiPriority w:val="39"/>
    <w:rsid w:val="00DB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5C0"/>
  </w:style>
  <w:style w:type="paragraph" w:styleId="Stopka">
    <w:name w:val="footer"/>
    <w:basedOn w:val="Normalny"/>
    <w:link w:val="Stopka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5C0"/>
  </w:style>
  <w:style w:type="character" w:styleId="Tekstzastpczy">
    <w:name w:val="Placeholder Text"/>
    <w:basedOn w:val="Domylnaczcionkaakapitu"/>
    <w:uiPriority w:val="99"/>
    <w:semiHidden/>
    <w:rsid w:val="007E367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2F50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85E5D"/>
    <w:rPr>
      <w:rFonts w:eastAsia="Times New Roman"/>
      <w:b/>
      <w:bCs/>
      <w:color w:val="00206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072F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2F5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72F5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072F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7633DB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3DB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28A"/>
    <w:rPr>
      <w:sz w:val="20"/>
      <w:szCs w:val="20"/>
    </w:rPr>
  </w:style>
  <w:style w:type="table" w:styleId="Zwykatabela1">
    <w:name w:val="Plain Table 1"/>
    <w:basedOn w:val="Standardowy"/>
    <w:uiPriority w:val="41"/>
    <w:rsid w:val="009754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754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2F47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EC0233"/>
  </w:style>
  <w:style w:type="character" w:customStyle="1" w:styleId="contextualspellingandgrammarerror">
    <w:name w:val="contextualspellingandgrammarerror"/>
    <w:basedOn w:val="Domylnaczcionkaakapitu"/>
    <w:rsid w:val="00EC0233"/>
  </w:style>
  <w:style w:type="character" w:customStyle="1" w:styleId="spellingerror">
    <w:name w:val="spellingerror"/>
    <w:basedOn w:val="Domylnaczcionkaakapitu"/>
    <w:rsid w:val="00EC0233"/>
  </w:style>
  <w:style w:type="paragraph" w:styleId="Podtytu">
    <w:name w:val="Subtitle"/>
    <w:basedOn w:val="Normalny"/>
    <w:next w:val="Normalny"/>
    <w:link w:val="PodtytuZnak"/>
    <w:uiPriority w:val="11"/>
    <w:qFormat/>
    <w:rsid w:val="00CD755D"/>
    <w:pPr>
      <w:spacing w:before="100" w:beforeAutospacing="1" w:after="0" w:line="240" w:lineRule="auto"/>
      <w:jc w:val="both"/>
      <w:outlineLvl w:val="1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D755D"/>
    <w:rPr>
      <w:rFonts w:asciiTheme="majorHAnsi" w:hAnsiTheme="majorHAnsi" w:cstheme="majorHAnsi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85E5D"/>
    <w:pPr>
      <w:spacing w:before="100" w:beforeAutospacing="1" w:after="120" w:line="240" w:lineRule="auto"/>
    </w:pPr>
    <w:rPr>
      <w:rFonts w:eastAsia="Times New Roman"/>
      <w:b/>
      <w:bCs/>
      <w:color w:val="00206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E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E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E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B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B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0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link@lovebrandsgrou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ilin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mar.pl/__/3/3.a/114093/3.sc/11/Raport-cenowy---stycze%C5%84-2022.html" TargetMode="External"/><Relationship Id="rId2" Type="http://schemas.openxmlformats.org/officeDocument/2006/relationships/hyperlink" Target="https://www.ure.gov.pl/pl/urzad/informacje-ogolne/aktualnosci/9963,Od-stycznia-za-prad-zaplacimy-o-21-zl-wiecej.html" TargetMode="External"/><Relationship Id="rId1" Type="http://schemas.openxmlformats.org/officeDocument/2006/relationships/hyperlink" Target="https://stat.gov.pl/obszary-tematyczne/ceny-handel/wskazniki-cen/wskazniki-cen-towarow-i-uslug-konsumpcyjnych-w-styczniu-2022-roku-dane-wstepne,2,12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4F25-655D-4940-B793-3CDC466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Sęk</dc:creator>
  <cp:keywords/>
  <dc:description/>
  <cp:lastModifiedBy>Alicja Bartniczuk</cp:lastModifiedBy>
  <cp:revision>2</cp:revision>
  <cp:lastPrinted>2020-10-12T13:59:00Z</cp:lastPrinted>
  <dcterms:created xsi:type="dcterms:W3CDTF">2022-03-07T11:51:00Z</dcterms:created>
  <dcterms:modified xsi:type="dcterms:W3CDTF">2022-03-07T11:51:00Z</dcterms:modified>
</cp:coreProperties>
</file>